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3" w:type="dxa"/>
        <w:tblLayout w:type="fixed"/>
        <w:tblLook w:val="0000" w:firstRow="0" w:lastRow="0" w:firstColumn="0" w:lastColumn="0" w:noHBand="0" w:noVBand="0"/>
      </w:tblPr>
      <w:tblGrid>
        <w:gridCol w:w="5198"/>
        <w:gridCol w:w="1856"/>
        <w:gridCol w:w="2552"/>
        <w:gridCol w:w="547"/>
      </w:tblGrid>
      <w:tr w:rsidR="007F506F" w:rsidRPr="007F506F" w:rsidTr="007F506F">
        <w:trPr>
          <w:trHeight w:val="996"/>
        </w:trPr>
        <w:tc>
          <w:tcPr>
            <w:tcW w:w="7054" w:type="dxa"/>
            <w:gridSpan w:val="2"/>
          </w:tcPr>
          <w:p w:rsidR="007F506F" w:rsidRPr="007F506F" w:rsidRDefault="007F506F" w:rsidP="007F506F">
            <w:pPr>
              <w:keepNext/>
              <w:spacing w:line="240" w:lineRule="auto"/>
              <w:outlineLvl w:val="2"/>
              <w:rPr>
                <w:rFonts w:ascii="Arial" w:hAnsi="Arial"/>
                <w:b/>
                <w:sz w:val="28"/>
                <w:szCs w:val="28"/>
                <w:u w:val="single"/>
              </w:rPr>
            </w:pPr>
            <w:r w:rsidRPr="007F506F">
              <w:rPr>
                <w:rFonts w:ascii="Arial" w:hAnsi="Arial"/>
                <w:b/>
                <w:sz w:val="28"/>
                <w:szCs w:val="28"/>
                <w:u w:val="single"/>
              </w:rPr>
              <w:t>JOB DESCRIPTION AND PERSON SPECIFICATION – PARTNERSHIP SUSTAINABILITY LEAD</w:t>
            </w:r>
          </w:p>
        </w:tc>
        <w:tc>
          <w:tcPr>
            <w:tcW w:w="3099" w:type="dxa"/>
            <w:gridSpan w:val="2"/>
          </w:tcPr>
          <w:p w:rsidR="007F506F" w:rsidRPr="007F506F" w:rsidRDefault="007F506F" w:rsidP="007F506F">
            <w:pPr>
              <w:spacing w:line="240" w:lineRule="auto"/>
              <w:rPr>
                <w:rFonts w:ascii="Arial" w:hAnsi="Arial"/>
                <w:b/>
                <w:sz w:val="24"/>
                <w:szCs w:val="20"/>
              </w:rPr>
            </w:pPr>
          </w:p>
        </w:tc>
      </w:tr>
      <w:tr w:rsidR="007F506F" w:rsidRPr="007F506F" w:rsidTr="007F506F">
        <w:trPr>
          <w:gridAfter w:val="1"/>
          <w:wAfter w:w="547" w:type="dxa"/>
        </w:trPr>
        <w:tc>
          <w:tcPr>
            <w:tcW w:w="5198" w:type="dxa"/>
            <w:tcBorders>
              <w:top w:val="single" w:sz="6" w:space="0" w:color="auto"/>
              <w:left w:val="single" w:sz="6" w:space="0" w:color="auto"/>
              <w:bottom w:val="single" w:sz="6" w:space="0" w:color="auto"/>
              <w:right w:val="single" w:sz="6" w:space="0" w:color="auto"/>
            </w:tcBorders>
          </w:tcPr>
          <w:p w:rsidR="007F506F" w:rsidRPr="007F506F" w:rsidRDefault="007F506F" w:rsidP="007F506F">
            <w:pPr>
              <w:keepNext/>
              <w:spacing w:line="240" w:lineRule="auto"/>
              <w:outlineLvl w:val="3"/>
              <w:rPr>
                <w:rFonts w:ascii="Arial" w:hAnsi="Arial"/>
                <w:b/>
                <w:sz w:val="22"/>
                <w:szCs w:val="22"/>
              </w:rPr>
            </w:pPr>
            <w:r w:rsidRPr="007F506F">
              <w:rPr>
                <w:rFonts w:ascii="Arial" w:hAnsi="Arial"/>
                <w:b/>
                <w:sz w:val="22"/>
                <w:szCs w:val="22"/>
              </w:rPr>
              <w:t>StreetGames</w:t>
            </w:r>
          </w:p>
        </w:tc>
        <w:tc>
          <w:tcPr>
            <w:tcW w:w="4408" w:type="dxa"/>
            <w:gridSpan w:val="2"/>
            <w:tcBorders>
              <w:top w:val="single" w:sz="6" w:space="0" w:color="auto"/>
              <w:left w:val="single" w:sz="6" w:space="0" w:color="auto"/>
              <w:bottom w:val="single" w:sz="6" w:space="0" w:color="auto"/>
              <w:right w:val="single" w:sz="6" w:space="0" w:color="auto"/>
            </w:tcBorders>
          </w:tcPr>
          <w:p w:rsidR="007F506F" w:rsidRPr="007F506F" w:rsidRDefault="007F506F" w:rsidP="004D77E1">
            <w:pPr>
              <w:spacing w:line="240" w:lineRule="auto"/>
              <w:rPr>
                <w:rFonts w:ascii="Arial" w:hAnsi="Arial"/>
                <w:b/>
                <w:sz w:val="22"/>
                <w:szCs w:val="22"/>
              </w:rPr>
            </w:pPr>
            <w:r w:rsidRPr="007F506F">
              <w:rPr>
                <w:rFonts w:ascii="Arial" w:hAnsi="Arial"/>
                <w:b/>
                <w:sz w:val="22"/>
                <w:szCs w:val="22"/>
              </w:rPr>
              <w:t>Location:  London Office</w:t>
            </w:r>
            <w:r w:rsidR="004D77E1">
              <w:rPr>
                <w:rFonts w:ascii="Arial" w:hAnsi="Arial"/>
                <w:b/>
                <w:sz w:val="22"/>
                <w:szCs w:val="22"/>
              </w:rPr>
              <w:t xml:space="preserve"> (with flexible working arrangements)</w:t>
            </w:r>
          </w:p>
        </w:tc>
      </w:tr>
      <w:tr w:rsidR="007F506F" w:rsidRPr="007F506F" w:rsidTr="007F506F">
        <w:trPr>
          <w:gridAfter w:val="1"/>
          <w:wAfter w:w="547" w:type="dxa"/>
        </w:trPr>
        <w:tc>
          <w:tcPr>
            <w:tcW w:w="5198" w:type="dxa"/>
            <w:tcBorders>
              <w:top w:val="single" w:sz="6" w:space="0" w:color="auto"/>
              <w:left w:val="single" w:sz="6" w:space="0" w:color="auto"/>
              <w:bottom w:val="single" w:sz="6" w:space="0" w:color="auto"/>
              <w:right w:val="single" w:sz="6" w:space="0" w:color="auto"/>
            </w:tcBorders>
          </w:tcPr>
          <w:p w:rsidR="007F506F" w:rsidRPr="007F506F" w:rsidRDefault="007F506F" w:rsidP="007F506F">
            <w:pPr>
              <w:spacing w:line="240" w:lineRule="auto"/>
              <w:rPr>
                <w:rFonts w:ascii="Arial" w:hAnsi="Arial"/>
                <w:b/>
                <w:sz w:val="22"/>
                <w:szCs w:val="22"/>
              </w:rPr>
            </w:pPr>
            <w:r w:rsidRPr="007F506F">
              <w:rPr>
                <w:rFonts w:ascii="Arial" w:hAnsi="Arial"/>
                <w:b/>
                <w:sz w:val="22"/>
                <w:szCs w:val="22"/>
              </w:rPr>
              <w:t>Job Title: Partnership Sustainability Lead</w:t>
            </w:r>
          </w:p>
          <w:p w:rsidR="007F506F" w:rsidRPr="007F506F" w:rsidRDefault="004D77E1" w:rsidP="007F506F">
            <w:pPr>
              <w:spacing w:line="240" w:lineRule="auto"/>
              <w:rPr>
                <w:rFonts w:ascii="Arial" w:hAnsi="Arial"/>
                <w:b/>
                <w:sz w:val="22"/>
                <w:szCs w:val="22"/>
              </w:rPr>
            </w:pPr>
            <w:r>
              <w:rPr>
                <w:rFonts w:ascii="Arial" w:hAnsi="Arial"/>
                <w:b/>
                <w:sz w:val="22"/>
                <w:szCs w:val="22"/>
              </w:rPr>
              <w:t>London South East</w:t>
            </w:r>
          </w:p>
        </w:tc>
        <w:tc>
          <w:tcPr>
            <w:tcW w:w="4408" w:type="dxa"/>
            <w:gridSpan w:val="2"/>
            <w:tcBorders>
              <w:top w:val="single" w:sz="6" w:space="0" w:color="auto"/>
              <w:left w:val="single" w:sz="6" w:space="0" w:color="auto"/>
              <w:bottom w:val="single" w:sz="6" w:space="0" w:color="auto"/>
              <w:right w:val="single" w:sz="6" w:space="0" w:color="auto"/>
            </w:tcBorders>
          </w:tcPr>
          <w:p w:rsidR="007F506F" w:rsidRPr="007F506F" w:rsidRDefault="007F506F" w:rsidP="007F506F">
            <w:pPr>
              <w:spacing w:line="240" w:lineRule="auto"/>
              <w:rPr>
                <w:rFonts w:ascii="Arial" w:hAnsi="Arial"/>
                <w:b/>
                <w:sz w:val="22"/>
                <w:szCs w:val="22"/>
              </w:rPr>
            </w:pPr>
            <w:r w:rsidRPr="007F506F">
              <w:rPr>
                <w:rFonts w:ascii="Arial" w:hAnsi="Arial"/>
                <w:b/>
                <w:sz w:val="22"/>
                <w:szCs w:val="22"/>
              </w:rPr>
              <w:t xml:space="preserve">Grade/Salary Range: </w:t>
            </w:r>
          </w:p>
          <w:p w:rsidR="007F506F" w:rsidRPr="007F506F" w:rsidRDefault="007F506F" w:rsidP="007F506F">
            <w:pPr>
              <w:spacing w:line="240" w:lineRule="auto"/>
              <w:rPr>
                <w:rFonts w:ascii="Arial" w:hAnsi="Arial"/>
                <w:b/>
                <w:sz w:val="22"/>
                <w:szCs w:val="22"/>
              </w:rPr>
            </w:pPr>
            <w:r w:rsidRPr="007F506F">
              <w:rPr>
                <w:rFonts w:ascii="Arial" w:hAnsi="Arial"/>
                <w:b/>
                <w:sz w:val="22"/>
                <w:szCs w:val="22"/>
              </w:rPr>
              <w:t xml:space="preserve">Employed posts (0.6 FTE): </w:t>
            </w:r>
          </w:p>
          <w:p w:rsidR="007F506F" w:rsidRPr="007F506F" w:rsidRDefault="007F506F" w:rsidP="007F506F">
            <w:pPr>
              <w:spacing w:line="240" w:lineRule="auto"/>
              <w:rPr>
                <w:rFonts w:ascii="Arial" w:hAnsi="Arial"/>
                <w:b/>
                <w:sz w:val="22"/>
                <w:szCs w:val="22"/>
              </w:rPr>
            </w:pPr>
            <w:r w:rsidRPr="007F506F">
              <w:rPr>
                <w:rFonts w:ascii="Arial" w:hAnsi="Arial"/>
                <w:b/>
                <w:sz w:val="22"/>
                <w:szCs w:val="22"/>
              </w:rPr>
              <w:t>Secondments and other arrangements negotiable.</w:t>
            </w:r>
          </w:p>
          <w:p w:rsidR="007F506F" w:rsidRPr="007F506F" w:rsidRDefault="007F506F" w:rsidP="007F506F">
            <w:pPr>
              <w:spacing w:line="240" w:lineRule="auto"/>
              <w:rPr>
                <w:rFonts w:ascii="Arial" w:hAnsi="Arial"/>
                <w:b/>
                <w:sz w:val="22"/>
                <w:szCs w:val="22"/>
              </w:rPr>
            </w:pPr>
            <w:r w:rsidRPr="007F506F">
              <w:rPr>
                <w:rFonts w:ascii="Arial" w:hAnsi="Arial"/>
                <w:b/>
                <w:sz w:val="22"/>
                <w:szCs w:val="22"/>
              </w:rPr>
              <w:t xml:space="preserve">Salary Band: PO3/4 £38,362-£44,949 (pro rata for </w:t>
            </w:r>
            <w:r w:rsidRPr="004D77E1">
              <w:rPr>
                <w:rFonts w:ascii="Arial" w:hAnsi="Arial"/>
                <w:b/>
                <w:sz w:val="22"/>
                <w:szCs w:val="22"/>
              </w:rPr>
              <w:t>3</w:t>
            </w:r>
            <w:r w:rsidRPr="007F506F">
              <w:rPr>
                <w:rFonts w:ascii="Arial" w:hAnsi="Arial"/>
                <w:b/>
                <w:sz w:val="22"/>
                <w:szCs w:val="22"/>
              </w:rPr>
              <w:t xml:space="preserve"> days)</w:t>
            </w:r>
          </w:p>
        </w:tc>
      </w:tr>
      <w:tr w:rsidR="007F506F" w:rsidRPr="007F506F" w:rsidTr="007F506F">
        <w:trPr>
          <w:gridAfter w:val="1"/>
          <w:wAfter w:w="547" w:type="dxa"/>
        </w:trPr>
        <w:tc>
          <w:tcPr>
            <w:tcW w:w="5198" w:type="dxa"/>
          </w:tcPr>
          <w:p w:rsidR="007F506F" w:rsidRPr="007F506F" w:rsidRDefault="007F506F" w:rsidP="007F506F">
            <w:pPr>
              <w:spacing w:line="240" w:lineRule="auto"/>
              <w:rPr>
                <w:rFonts w:ascii="Arial" w:hAnsi="Arial"/>
                <w:b/>
                <w:sz w:val="22"/>
                <w:szCs w:val="22"/>
              </w:rPr>
            </w:pPr>
          </w:p>
        </w:tc>
        <w:tc>
          <w:tcPr>
            <w:tcW w:w="4408" w:type="dxa"/>
            <w:gridSpan w:val="2"/>
          </w:tcPr>
          <w:p w:rsidR="007F506F" w:rsidRPr="007F506F" w:rsidRDefault="007F506F" w:rsidP="007F506F">
            <w:pPr>
              <w:spacing w:line="240" w:lineRule="auto"/>
              <w:rPr>
                <w:rFonts w:ascii="Arial" w:hAnsi="Arial"/>
                <w:b/>
                <w:sz w:val="22"/>
                <w:szCs w:val="22"/>
              </w:rPr>
            </w:pPr>
          </w:p>
        </w:tc>
      </w:tr>
      <w:tr w:rsidR="007F506F" w:rsidRPr="007F506F" w:rsidTr="007F506F">
        <w:trPr>
          <w:gridAfter w:val="1"/>
          <w:wAfter w:w="547" w:type="dxa"/>
        </w:trPr>
        <w:tc>
          <w:tcPr>
            <w:tcW w:w="9606" w:type="dxa"/>
            <w:gridSpan w:val="3"/>
            <w:tcBorders>
              <w:top w:val="single" w:sz="6" w:space="0" w:color="auto"/>
              <w:left w:val="single" w:sz="6" w:space="0" w:color="auto"/>
              <w:bottom w:val="single" w:sz="6" w:space="0" w:color="auto"/>
              <w:right w:val="single" w:sz="6" w:space="0" w:color="auto"/>
            </w:tcBorders>
            <w:shd w:val="solid" w:color="auto" w:fill="auto"/>
          </w:tcPr>
          <w:p w:rsidR="007F506F" w:rsidRPr="007F506F" w:rsidRDefault="007F506F" w:rsidP="007F506F">
            <w:pPr>
              <w:spacing w:line="240" w:lineRule="auto"/>
              <w:rPr>
                <w:rFonts w:ascii="Arial" w:hAnsi="Arial"/>
                <w:b/>
                <w:color w:val="FFFFFF"/>
                <w:sz w:val="22"/>
                <w:szCs w:val="22"/>
              </w:rPr>
            </w:pPr>
            <w:r w:rsidRPr="007F506F">
              <w:rPr>
                <w:rFonts w:ascii="Arial" w:hAnsi="Arial"/>
                <w:b/>
                <w:color w:val="FFFFFF"/>
                <w:sz w:val="22"/>
                <w:szCs w:val="22"/>
              </w:rPr>
              <w:t>JOB PURPOSE</w:t>
            </w:r>
          </w:p>
        </w:tc>
      </w:tr>
      <w:tr w:rsidR="007F506F" w:rsidRPr="007F506F" w:rsidTr="007F506F">
        <w:trPr>
          <w:gridAfter w:val="1"/>
          <w:wAfter w:w="547" w:type="dxa"/>
        </w:trPr>
        <w:tc>
          <w:tcPr>
            <w:tcW w:w="9606" w:type="dxa"/>
            <w:gridSpan w:val="3"/>
            <w:tcBorders>
              <w:top w:val="single" w:sz="6" w:space="0" w:color="auto"/>
              <w:left w:val="single" w:sz="6" w:space="0" w:color="auto"/>
              <w:bottom w:val="single" w:sz="6" w:space="0" w:color="auto"/>
              <w:right w:val="single" w:sz="6" w:space="0" w:color="auto"/>
            </w:tcBorders>
          </w:tcPr>
          <w:p w:rsidR="007F506F" w:rsidRPr="007F506F" w:rsidRDefault="007F506F" w:rsidP="007F506F">
            <w:pPr>
              <w:spacing w:line="240" w:lineRule="auto"/>
              <w:rPr>
                <w:rFonts w:ascii="Arial" w:hAnsi="Arial" w:cs="Arial"/>
                <w:sz w:val="22"/>
                <w:szCs w:val="22"/>
              </w:rPr>
            </w:pPr>
            <w:r w:rsidRPr="007F506F">
              <w:rPr>
                <w:rFonts w:ascii="Arial" w:hAnsi="Arial" w:cs="Arial"/>
                <w:sz w:val="22"/>
                <w:szCs w:val="22"/>
              </w:rPr>
              <w:t xml:space="preserve">Partnership Sustainability Leads form part of the StreetGames Area Teams and work alongside the Area Director and Doorstep Sport Advisors to develop and support our vision of creating Collaborative Clusters across 50 geographical areas in England.   </w:t>
            </w:r>
          </w:p>
          <w:p w:rsidR="007F506F" w:rsidRPr="007F506F" w:rsidRDefault="007F506F" w:rsidP="007F506F">
            <w:pPr>
              <w:spacing w:line="240" w:lineRule="auto"/>
              <w:rPr>
                <w:rFonts w:ascii="Arial" w:hAnsi="Arial" w:cs="Arial"/>
                <w:sz w:val="16"/>
                <w:szCs w:val="16"/>
              </w:rPr>
            </w:pPr>
          </w:p>
          <w:p w:rsidR="007F506F" w:rsidRPr="007F506F" w:rsidRDefault="007F506F" w:rsidP="007F506F">
            <w:pPr>
              <w:spacing w:line="240" w:lineRule="auto"/>
              <w:rPr>
                <w:rFonts w:ascii="Arial" w:hAnsi="Arial" w:cs="Arial"/>
                <w:sz w:val="22"/>
                <w:szCs w:val="22"/>
              </w:rPr>
            </w:pPr>
            <w:r w:rsidRPr="007F506F">
              <w:rPr>
                <w:rFonts w:ascii="Arial" w:hAnsi="Arial" w:cs="Arial"/>
                <w:sz w:val="22"/>
                <w:szCs w:val="22"/>
              </w:rPr>
              <w:t xml:space="preserve">StreetGames has a reputation for delivering doorstep sport in deprived communities engaging hard to reach young people through sport in the right style, right place, right time, and right price and with the right people; to help them lead an active lifestyle and achieve their potential. </w:t>
            </w:r>
          </w:p>
          <w:p w:rsidR="007F506F" w:rsidRPr="007F506F" w:rsidRDefault="007F506F" w:rsidP="007F506F">
            <w:pPr>
              <w:spacing w:line="240" w:lineRule="auto"/>
              <w:rPr>
                <w:rFonts w:ascii="Arial" w:hAnsi="Arial" w:cs="Arial"/>
                <w:sz w:val="16"/>
                <w:szCs w:val="16"/>
              </w:rPr>
            </w:pPr>
            <w:r w:rsidRPr="007F506F">
              <w:rPr>
                <w:rFonts w:ascii="Arial" w:hAnsi="Arial" w:cs="Arial"/>
                <w:sz w:val="22"/>
                <w:szCs w:val="22"/>
              </w:rPr>
              <w:t xml:space="preserve"> </w:t>
            </w:r>
          </w:p>
          <w:p w:rsidR="007F506F" w:rsidRPr="007F506F" w:rsidRDefault="007F506F" w:rsidP="007F506F">
            <w:pPr>
              <w:spacing w:line="240" w:lineRule="auto"/>
              <w:rPr>
                <w:rFonts w:ascii="Arial" w:hAnsi="Arial" w:cs="Arial"/>
                <w:sz w:val="22"/>
                <w:szCs w:val="22"/>
              </w:rPr>
            </w:pPr>
            <w:r w:rsidRPr="007F506F">
              <w:rPr>
                <w:rFonts w:ascii="Arial" w:hAnsi="Arial" w:cs="Arial"/>
                <w:sz w:val="22"/>
                <w:szCs w:val="22"/>
              </w:rPr>
              <w:t xml:space="preserve">Partnership Sustainability Leads support and enable Clusters and Locally Trusted Organisations </w:t>
            </w:r>
            <w:r w:rsidRPr="007F506F">
              <w:rPr>
                <w:rFonts w:ascii="Arial" w:hAnsi="Arial" w:cs="Arial"/>
                <w:sz w:val="22"/>
                <w:szCs w:val="22"/>
              </w:rPr>
              <w:br/>
              <w:t xml:space="preserve">(LTOs) to access new sources of income for the delivery of the local sporting offer through their ability to link the needs of investors in wider social outcomes with LTO capability. </w:t>
            </w:r>
          </w:p>
          <w:p w:rsidR="007F506F" w:rsidRPr="007F506F" w:rsidRDefault="007F506F" w:rsidP="007F506F">
            <w:pPr>
              <w:spacing w:line="240" w:lineRule="auto"/>
              <w:rPr>
                <w:rFonts w:ascii="Arial" w:hAnsi="Arial" w:cs="Arial"/>
                <w:sz w:val="22"/>
                <w:szCs w:val="22"/>
              </w:rPr>
            </w:pPr>
          </w:p>
          <w:p w:rsidR="007F506F" w:rsidRPr="007F506F" w:rsidRDefault="007F506F" w:rsidP="007F506F">
            <w:pPr>
              <w:spacing w:line="240" w:lineRule="auto"/>
              <w:rPr>
                <w:rFonts w:ascii="Arial" w:hAnsi="Arial" w:cs="Arial"/>
                <w:sz w:val="22"/>
                <w:szCs w:val="22"/>
              </w:rPr>
            </w:pPr>
            <w:r w:rsidRPr="007F506F">
              <w:rPr>
                <w:rFonts w:ascii="Arial" w:hAnsi="Arial" w:cs="Arial"/>
                <w:sz w:val="22"/>
                <w:szCs w:val="22"/>
              </w:rPr>
              <w:t>Partnership Sustainability Leads build the fundraising capacity within the Clusters and the LTOs, to support their long term sustainability.</w:t>
            </w:r>
          </w:p>
          <w:p w:rsidR="007F506F" w:rsidRPr="007F506F" w:rsidRDefault="007F506F" w:rsidP="007F506F">
            <w:pPr>
              <w:spacing w:line="240" w:lineRule="auto"/>
              <w:rPr>
                <w:rFonts w:ascii="Arial" w:hAnsi="Arial" w:cs="Arial"/>
                <w:sz w:val="22"/>
                <w:szCs w:val="22"/>
              </w:rPr>
            </w:pPr>
          </w:p>
          <w:p w:rsidR="007F506F" w:rsidRPr="007F506F" w:rsidRDefault="007F506F" w:rsidP="007F506F">
            <w:pPr>
              <w:spacing w:line="240" w:lineRule="auto"/>
              <w:rPr>
                <w:rFonts w:ascii="Arial" w:hAnsi="Arial" w:cs="Arial"/>
                <w:sz w:val="22"/>
                <w:szCs w:val="22"/>
              </w:rPr>
            </w:pPr>
            <w:r w:rsidRPr="007F506F">
              <w:rPr>
                <w:rFonts w:ascii="Arial" w:hAnsi="Arial" w:cs="Arial"/>
                <w:sz w:val="22"/>
                <w:szCs w:val="22"/>
              </w:rPr>
              <w:t>Partnership Sustainability Leads support both the national and regional work of the StreetGames Fundraising Team; ensuring national priorities are reflected in local work undertaken with both the Clusters and individual LTOs.</w:t>
            </w:r>
          </w:p>
          <w:p w:rsidR="007F506F" w:rsidRPr="007F506F" w:rsidRDefault="007F506F" w:rsidP="007F506F">
            <w:pPr>
              <w:spacing w:line="240" w:lineRule="auto"/>
              <w:rPr>
                <w:rFonts w:ascii="Arial" w:hAnsi="Arial" w:cs="Arial"/>
                <w:sz w:val="16"/>
                <w:szCs w:val="16"/>
              </w:rPr>
            </w:pPr>
          </w:p>
          <w:p w:rsidR="007F506F" w:rsidRPr="007F506F" w:rsidRDefault="007F506F" w:rsidP="007F506F">
            <w:pPr>
              <w:spacing w:line="240" w:lineRule="auto"/>
              <w:rPr>
                <w:rFonts w:ascii="Arial" w:hAnsi="Arial" w:cs="Arial"/>
                <w:sz w:val="22"/>
                <w:szCs w:val="22"/>
              </w:rPr>
            </w:pPr>
          </w:p>
        </w:tc>
      </w:tr>
      <w:tr w:rsidR="007F506F" w:rsidRPr="007F506F" w:rsidTr="007F506F">
        <w:trPr>
          <w:gridAfter w:val="1"/>
          <w:wAfter w:w="547" w:type="dxa"/>
        </w:trPr>
        <w:tc>
          <w:tcPr>
            <w:tcW w:w="9606" w:type="dxa"/>
            <w:gridSpan w:val="3"/>
            <w:tcBorders>
              <w:top w:val="single" w:sz="6" w:space="0" w:color="auto"/>
              <w:left w:val="single" w:sz="6" w:space="0" w:color="auto"/>
              <w:bottom w:val="single" w:sz="6" w:space="0" w:color="auto"/>
              <w:right w:val="single" w:sz="6" w:space="0" w:color="auto"/>
            </w:tcBorders>
            <w:shd w:val="solid" w:color="auto" w:fill="auto"/>
          </w:tcPr>
          <w:p w:rsidR="007F506F" w:rsidRPr="007F506F" w:rsidRDefault="007F506F" w:rsidP="007F506F">
            <w:pPr>
              <w:spacing w:line="240" w:lineRule="auto"/>
              <w:rPr>
                <w:rFonts w:ascii="Arial" w:hAnsi="Arial" w:cs="Arial"/>
                <w:b/>
                <w:color w:val="FFFFFF"/>
                <w:sz w:val="22"/>
                <w:szCs w:val="22"/>
              </w:rPr>
            </w:pPr>
            <w:r w:rsidRPr="007F506F">
              <w:rPr>
                <w:rFonts w:ascii="Arial" w:hAnsi="Arial" w:cs="Arial"/>
                <w:sz w:val="22"/>
                <w:szCs w:val="22"/>
              </w:rPr>
              <w:tab/>
            </w:r>
            <w:r w:rsidRPr="007F506F">
              <w:rPr>
                <w:rFonts w:ascii="Arial" w:hAnsi="Arial" w:cs="Arial"/>
                <w:sz w:val="22"/>
                <w:szCs w:val="22"/>
              </w:rPr>
              <w:br w:type="page"/>
            </w:r>
            <w:r w:rsidRPr="007F506F">
              <w:rPr>
                <w:rFonts w:ascii="Arial" w:hAnsi="Arial" w:cs="Arial"/>
                <w:sz w:val="22"/>
                <w:szCs w:val="22"/>
              </w:rPr>
              <w:br w:type="page"/>
            </w:r>
            <w:r w:rsidRPr="007F506F">
              <w:rPr>
                <w:rFonts w:ascii="Arial" w:hAnsi="Arial" w:cs="Arial"/>
                <w:b/>
                <w:color w:val="FFFFFF"/>
                <w:sz w:val="22"/>
                <w:szCs w:val="22"/>
              </w:rPr>
              <w:t>MAIN DUTIES AND RESPONSIBILITIES</w:t>
            </w:r>
          </w:p>
        </w:tc>
      </w:tr>
      <w:tr w:rsidR="007F506F" w:rsidRPr="007F506F" w:rsidTr="007F506F">
        <w:trPr>
          <w:gridAfter w:val="1"/>
          <w:wAfter w:w="547" w:type="dxa"/>
        </w:trPr>
        <w:tc>
          <w:tcPr>
            <w:tcW w:w="9606" w:type="dxa"/>
            <w:gridSpan w:val="3"/>
            <w:tcBorders>
              <w:top w:val="single" w:sz="6" w:space="0" w:color="auto"/>
              <w:left w:val="single" w:sz="6" w:space="0" w:color="auto"/>
              <w:bottom w:val="single" w:sz="6" w:space="0" w:color="auto"/>
              <w:right w:val="single" w:sz="6" w:space="0" w:color="auto"/>
            </w:tcBorders>
          </w:tcPr>
          <w:p w:rsidR="007F506F" w:rsidRPr="007F506F" w:rsidRDefault="007F506F" w:rsidP="00177421">
            <w:pPr>
              <w:numPr>
                <w:ilvl w:val="0"/>
                <w:numId w:val="7"/>
              </w:numPr>
              <w:spacing w:after="120" w:line="240" w:lineRule="auto"/>
              <w:ind w:left="811" w:hanging="454"/>
              <w:rPr>
                <w:rFonts w:ascii="Arial" w:eastAsia="Calibri" w:hAnsi="Arial" w:cs="Arial"/>
                <w:color w:val="000000"/>
                <w:sz w:val="22"/>
                <w:szCs w:val="22"/>
                <w:lang w:eastAsia="en-US"/>
              </w:rPr>
            </w:pPr>
            <w:r w:rsidRPr="007F506F">
              <w:rPr>
                <w:rFonts w:ascii="Arial" w:eastAsia="Calibri" w:hAnsi="Arial" w:cs="Arial"/>
                <w:color w:val="000000"/>
                <w:sz w:val="22"/>
                <w:szCs w:val="22"/>
                <w:lang w:eastAsia="en-US"/>
              </w:rPr>
              <w:t>Undertake research to identify regional and local funding opportunities for both StreetGames and LTO’s</w:t>
            </w:r>
            <w:r w:rsidRPr="007F506F">
              <w:rPr>
                <w:rFonts w:ascii="Arial" w:eastAsia="Calibri" w:hAnsi="Arial" w:cs="Arial"/>
                <w:color w:val="000000"/>
                <w:sz w:val="22"/>
                <w:szCs w:val="22"/>
                <w:lang w:eastAsia="en-US"/>
              </w:rPr>
              <w:br/>
            </w:r>
          </w:p>
          <w:p w:rsidR="007F506F" w:rsidRPr="007F506F" w:rsidRDefault="007F506F" w:rsidP="00177421">
            <w:pPr>
              <w:numPr>
                <w:ilvl w:val="0"/>
                <w:numId w:val="7"/>
              </w:numPr>
              <w:spacing w:after="120" w:line="240" w:lineRule="auto"/>
              <w:ind w:left="811" w:hanging="454"/>
              <w:rPr>
                <w:rFonts w:ascii="Arial" w:eastAsia="Calibri" w:hAnsi="Arial" w:cs="Arial"/>
                <w:color w:val="000000"/>
                <w:sz w:val="22"/>
                <w:szCs w:val="22"/>
                <w:lang w:eastAsia="en-US"/>
              </w:rPr>
            </w:pPr>
            <w:r w:rsidRPr="007F506F">
              <w:rPr>
                <w:rFonts w:ascii="Arial" w:eastAsia="Calibri" w:hAnsi="Arial" w:cs="Arial"/>
                <w:color w:val="000000"/>
                <w:sz w:val="22"/>
                <w:szCs w:val="22"/>
                <w:lang w:eastAsia="en-US"/>
              </w:rPr>
              <w:t>Work with the Doorstep Sport Advisors to support the Clusters to prepare Cluster Investment Plans ( CIP’s )</w:t>
            </w:r>
            <w:r w:rsidRPr="007F506F">
              <w:rPr>
                <w:rFonts w:ascii="Arial" w:eastAsia="Calibri" w:hAnsi="Arial" w:cs="Arial"/>
                <w:color w:val="000000"/>
                <w:sz w:val="22"/>
                <w:szCs w:val="22"/>
                <w:lang w:eastAsia="en-US"/>
              </w:rPr>
              <w:br/>
            </w:r>
          </w:p>
          <w:p w:rsidR="007F506F" w:rsidRPr="007F506F" w:rsidRDefault="007F506F" w:rsidP="00177421">
            <w:pPr>
              <w:numPr>
                <w:ilvl w:val="0"/>
                <w:numId w:val="7"/>
              </w:numPr>
              <w:spacing w:after="120" w:line="240" w:lineRule="auto"/>
              <w:ind w:left="811" w:hanging="454"/>
              <w:rPr>
                <w:rFonts w:ascii="Arial" w:eastAsia="Calibri" w:hAnsi="Arial" w:cs="Arial"/>
                <w:color w:val="000000"/>
                <w:sz w:val="22"/>
                <w:szCs w:val="22"/>
                <w:lang w:eastAsia="en-US"/>
              </w:rPr>
            </w:pPr>
            <w:r w:rsidRPr="007F506F">
              <w:rPr>
                <w:rFonts w:ascii="Arial" w:eastAsia="Calibri" w:hAnsi="Arial" w:cs="Arial"/>
                <w:color w:val="000000"/>
                <w:sz w:val="22"/>
                <w:szCs w:val="22"/>
                <w:lang w:eastAsia="en-US"/>
              </w:rPr>
              <w:t>Support the development of new  evidence that will demonstrate the impact of the Clusters and utilise this impact to attract new funders</w:t>
            </w:r>
            <w:r w:rsidRPr="007F506F">
              <w:rPr>
                <w:rFonts w:ascii="Arial" w:eastAsia="Calibri" w:hAnsi="Arial" w:cs="Arial"/>
                <w:color w:val="000000"/>
                <w:sz w:val="22"/>
                <w:szCs w:val="22"/>
                <w:lang w:eastAsia="en-US"/>
              </w:rPr>
              <w:br/>
            </w:r>
          </w:p>
          <w:p w:rsidR="007F506F" w:rsidRPr="007F506F" w:rsidRDefault="007F506F" w:rsidP="007F506F">
            <w:pPr>
              <w:numPr>
                <w:ilvl w:val="0"/>
                <w:numId w:val="7"/>
              </w:numPr>
              <w:spacing w:after="200" w:line="240" w:lineRule="auto"/>
              <w:rPr>
                <w:rFonts w:ascii="Arial" w:eastAsia="Calibri" w:hAnsi="Arial" w:cs="Arial"/>
                <w:color w:val="000000"/>
                <w:sz w:val="22"/>
                <w:szCs w:val="22"/>
                <w:lang w:eastAsia="en-US"/>
              </w:rPr>
            </w:pPr>
            <w:r w:rsidRPr="007F506F">
              <w:rPr>
                <w:rFonts w:ascii="Arial" w:eastAsia="Calibri" w:hAnsi="Arial" w:cs="Arial"/>
                <w:color w:val="000000"/>
                <w:sz w:val="22"/>
                <w:szCs w:val="22"/>
                <w:lang w:eastAsia="en-US"/>
              </w:rPr>
              <w:t xml:space="preserve">Deliver basic bid writing training to LTOs, utilising the resources of the StreetGames Training Academy </w:t>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color w:val="000000"/>
                <w:sz w:val="22"/>
                <w:szCs w:val="22"/>
                <w:lang w:eastAsia="en-US"/>
              </w:rPr>
              <w:t xml:space="preserve">Where appropriate, be able to apply national fundraising priorities locally and </w:t>
            </w:r>
            <w:r w:rsidRPr="007F506F">
              <w:rPr>
                <w:rFonts w:ascii="Arial" w:eastAsia="Calibri" w:hAnsi="Arial" w:cs="Arial"/>
                <w:sz w:val="22"/>
                <w:szCs w:val="22"/>
                <w:lang w:eastAsia="en-US"/>
              </w:rPr>
              <w:t>regionally.</w:t>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sz w:val="22"/>
                <w:szCs w:val="22"/>
                <w:lang w:eastAsia="en-US"/>
              </w:rPr>
              <w:t xml:space="preserve">Be the lead area team member in co-ordinating and writing strong, evidence based funding bids on behalf of or in collaboration with Clusters and /or LTOs </w:t>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sz w:val="22"/>
                <w:szCs w:val="22"/>
                <w:lang w:eastAsia="en-US"/>
              </w:rPr>
              <w:lastRenderedPageBreak/>
              <w:t xml:space="preserve">Work with Area Leads to understand the priorities emerging from the local ‘ active neighbourhood offer </w:t>
            </w:r>
            <w:r w:rsidR="004D77E1">
              <w:rPr>
                <w:rFonts w:ascii="Arial" w:eastAsia="Calibri" w:hAnsi="Arial" w:cs="Arial"/>
                <w:sz w:val="22"/>
                <w:szCs w:val="22"/>
                <w:lang w:eastAsia="en-US"/>
              </w:rPr>
              <w:t>‘ in relation to sustainability</w:t>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sz w:val="22"/>
                <w:szCs w:val="22"/>
                <w:lang w:eastAsia="en-US"/>
              </w:rPr>
              <w:t>Work with local and regional grant-making Trusts and Foundations to broker applica</w:t>
            </w:r>
            <w:r w:rsidR="004D77E1">
              <w:rPr>
                <w:rFonts w:ascii="Arial" w:eastAsia="Calibri" w:hAnsi="Arial" w:cs="Arial"/>
                <w:sz w:val="22"/>
                <w:szCs w:val="22"/>
                <w:lang w:eastAsia="en-US"/>
              </w:rPr>
              <w:t>tion access to grant programmes</w:t>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sz w:val="22"/>
                <w:szCs w:val="22"/>
                <w:lang w:eastAsia="en-US"/>
              </w:rPr>
              <w:t>Work with local and regional business networks (industry networks, local chamber of commerce etc.) and companies to create opportunities for donors t</w:t>
            </w:r>
            <w:r w:rsidR="004D77E1">
              <w:rPr>
                <w:rFonts w:ascii="Arial" w:eastAsia="Calibri" w:hAnsi="Arial" w:cs="Arial"/>
                <w:sz w:val="22"/>
                <w:szCs w:val="22"/>
                <w:lang w:eastAsia="en-US"/>
              </w:rPr>
              <w:t>o engage with Clusters and LTOs</w:t>
            </w:r>
          </w:p>
          <w:p w:rsidR="007F506F" w:rsidRPr="007F506F" w:rsidRDefault="007F506F" w:rsidP="00177421">
            <w:pPr>
              <w:numPr>
                <w:ilvl w:val="0"/>
                <w:numId w:val="7"/>
              </w:numPr>
              <w:spacing w:after="120" w:line="240" w:lineRule="auto"/>
              <w:ind w:left="811" w:hanging="454"/>
              <w:rPr>
                <w:rFonts w:ascii="Arial" w:eastAsia="Calibri" w:hAnsi="Arial" w:cs="Arial"/>
                <w:sz w:val="22"/>
                <w:szCs w:val="22"/>
                <w:lang w:eastAsia="en-US"/>
              </w:rPr>
            </w:pPr>
            <w:r w:rsidRPr="007F506F">
              <w:rPr>
                <w:rFonts w:ascii="Arial" w:eastAsia="Calibri" w:hAnsi="Arial" w:cs="Arial"/>
                <w:sz w:val="22"/>
                <w:szCs w:val="22"/>
                <w:lang w:eastAsia="en-US"/>
              </w:rPr>
              <w:t>Leverage investment opportunities and support Clusters/LTO’s to ident</w:t>
            </w:r>
            <w:r w:rsidR="004D77E1">
              <w:rPr>
                <w:rFonts w:ascii="Arial" w:eastAsia="Calibri" w:hAnsi="Arial" w:cs="Arial"/>
                <w:sz w:val="22"/>
                <w:szCs w:val="22"/>
                <w:lang w:eastAsia="en-US"/>
              </w:rPr>
              <w:t>ify match-funding opportunities</w:t>
            </w:r>
            <w:r w:rsidRPr="007F506F">
              <w:rPr>
                <w:rFonts w:ascii="Arial" w:eastAsia="Calibri" w:hAnsi="Arial" w:cs="Arial"/>
                <w:sz w:val="22"/>
                <w:szCs w:val="22"/>
                <w:lang w:eastAsia="en-US"/>
              </w:rPr>
              <w:br/>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sz w:val="22"/>
                <w:szCs w:val="22"/>
                <w:lang w:eastAsia="en-US"/>
              </w:rPr>
              <w:t>Use their knowledge and experience of different types of LTOs and how they operate to provide appropriate support and guidance in relation to fundrais</w:t>
            </w:r>
            <w:r w:rsidR="004D77E1">
              <w:rPr>
                <w:rFonts w:ascii="Arial" w:eastAsia="Calibri" w:hAnsi="Arial" w:cs="Arial"/>
                <w:sz w:val="22"/>
                <w:szCs w:val="22"/>
                <w:lang w:eastAsia="en-US"/>
              </w:rPr>
              <w:t>ing and sustainability planning</w:t>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sz w:val="22"/>
                <w:szCs w:val="22"/>
                <w:lang w:eastAsia="en-US"/>
              </w:rPr>
              <w:t xml:space="preserve">Develop a comprehensive understanding of the local priorities of LTOs and match them to </w:t>
            </w:r>
            <w:r w:rsidR="004D77E1">
              <w:rPr>
                <w:rFonts w:ascii="Arial" w:eastAsia="Calibri" w:hAnsi="Arial" w:cs="Arial"/>
                <w:sz w:val="22"/>
                <w:szCs w:val="22"/>
                <w:lang w:eastAsia="en-US"/>
              </w:rPr>
              <w:t>different funding opportunities</w:t>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sz w:val="22"/>
                <w:szCs w:val="22"/>
                <w:lang w:eastAsia="en-US"/>
              </w:rPr>
              <w:t>Disseminate knowledge, insight and good practice on a regular basis.</w:t>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sz w:val="22"/>
                <w:szCs w:val="22"/>
                <w:lang w:eastAsia="en-US"/>
              </w:rPr>
              <w:t>Identify where common themes exist and look at ways of cr</w:t>
            </w:r>
            <w:r w:rsidR="004D77E1">
              <w:rPr>
                <w:rFonts w:ascii="Arial" w:eastAsia="Calibri" w:hAnsi="Arial" w:cs="Arial"/>
                <w:sz w:val="22"/>
                <w:szCs w:val="22"/>
                <w:lang w:eastAsia="en-US"/>
              </w:rPr>
              <w:t>eating joint workshops /clinics</w:t>
            </w:r>
          </w:p>
          <w:p w:rsidR="007F506F" w:rsidRPr="007F506F" w:rsidRDefault="007F506F" w:rsidP="007F506F">
            <w:pPr>
              <w:numPr>
                <w:ilvl w:val="0"/>
                <w:numId w:val="7"/>
              </w:numPr>
              <w:spacing w:after="200" w:line="240" w:lineRule="auto"/>
              <w:rPr>
                <w:rFonts w:ascii="Arial" w:eastAsia="Calibri" w:hAnsi="Arial" w:cs="Arial"/>
                <w:sz w:val="22"/>
                <w:szCs w:val="22"/>
                <w:lang w:eastAsia="en-US"/>
              </w:rPr>
            </w:pPr>
            <w:r w:rsidRPr="007F506F">
              <w:rPr>
                <w:rFonts w:ascii="Arial" w:eastAsia="Calibri" w:hAnsi="Arial" w:cs="Arial"/>
                <w:sz w:val="22"/>
                <w:szCs w:val="22"/>
                <w:lang w:eastAsia="en-US"/>
              </w:rPr>
              <w:t xml:space="preserve">Look for opportunities to grow and develop this support service through partnerships with other agencies and networks, including County Sports Partnerships and Sported. </w:t>
            </w:r>
          </w:p>
          <w:p w:rsidR="007F506F" w:rsidRPr="007F506F" w:rsidRDefault="007F506F" w:rsidP="007F506F">
            <w:pPr>
              <w:spacing w:after="200" w:line="276" w:lineRule="auto"/>
              <w:jc w:val="center"/>
              <w:rPr>
                <w:rFonts w:ascii="Arial" w:eastAsia="Calibri" w:hAnsi="Arial" w:cs="Arial"/>
                <w:b/>
                <w:sz w:val="22"/>
                <w:szCs w:val="22"/>
                <w:u w:val="single"/>
                <w:lang w:eastAsia="en-US"/>
              </w:rPr>
            </w:pPr>
          </w:p>
          <w:p w:rsidR="007F506F" w:rsidRPr="007F506F" w:rsidRDefault="007F506F" w:rsidP="007F506F">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textAlignment w:val="baseline"/>
              <w:rPr>
                <w:rFonts w:ascii="Arial" w:hAnsi="Arial" w:cs="Arial"/>
                <w:sz w:val="22"/>
                <w:szCs w:val="22"/>
              </w:rPr>
            </w:pPr>
          </w:p>
        </w:tc>
      </w:tr>
      <w:tr w:rsidR="007F506F" w:rsidRPr="007F506F" w:rsidTr="007F506F">
        <w:trPr>
          <w:gridAfter w:val="1"/>
          <w:wAfter w:w="547" w:type="dxa"/>
          <w:trHeight w:val="65"/>
        </w:trPr>
        <w:tc>
          <w:tcPr>
            <w:tcW w:w="9606" w:type="dxa"/>
            <w:gridSpan w:val="3"/>
          </w:tcPr>
          <w:p w:rsidR="007F506F" w:rsidRPr="007F506F" w:rsidRDefault="007F506F" w:rsidP="007F506F">
            <w:pPr>
              <w:spacing w:line="240" w:lineRule="auto"/>
              <w:rPr>
                <w:rFonts w:ascii="Calibri" w:hAnsi="Calibri"/>
                <w:b/>
                <w:sz w:val="22"/>
                <w:szCs w:val="22"/>
              </w:rPr>
            </w:pPr>
          </w:p>
          <w:p w:rsidR="007F506F" w:rsidRPr="007F506F" w:rsidRDefault="007F506F" w:rsidP="007F506F">
            <w:pPr>
              <w:spacing w:line="240" w:lineRule="auto"/>
              <w:rPr>
                <w:rFonts w:ascii="Calibri" w:hAnsi="Calibri"/>
                <w:b/>
                <w:sz w:val="22"/>
                <w:szCs w:val="22"/>
              </w:rPr>
            </w:pPr>
          </w:p>
        </w:tc>
      </w:tr>
    </w:tbl>
    <w:p w:rsidR="007F506F" w:rsidRPr="00F4500D" w:rsidRDefault="007F506F" w:rsidP="00F4500D">
      <w:pPr>
        <w:spacing w:after="200" w:line="276" w:lineRule="auto"/>
        <w:rPr>
          <w:rFonts w:ascii="Arial" w:eastAsia="Calibri" w:hAnsi="Arial" w:cs="Arial"/>
          <w:sz w:val="24"/>
          <w:lang w:eastAsia="en-US"/>
        </w:rPr>
      </w:pPr>
    </w:p>
    <w:p w:rsidR="007F506F" w:rsidRDefault="007F506F" w:rsidP="00FE43E7">
      <w:pPr>
        <w:spacing w:before="100" w:beforeAutospacing="1"/>
        <w:jc w:val="both"/>
        <w:rPr>
          <w:rFonts w:ascii="Segoe UI" w:hAnsi="Segoe UI" w:cs="Segoe UI"/>
          <w:sz w:val="22"/>
          <w:szCs w:val="22"/>
          <w:lang w:val="en-US"/>
        </w:rPr>
      </w:pPr>
    </w:p>
    <w:tbl>
      <w:tblPr>
        <w:tblW w:w="10153" w:type="dxa"/>
        <w:tblLayout w:type="fixed"/>
        <w:tblLook w:val="0000" w:firstRow="0" w:lastRow="0" w:firstColumn="0" w:lastColumn="0" w:noHBand="0" w:noVBand="0"/>
      </w:tblPr>
      <w:tblGrid>
        <w:gridCol w:w="7054"/>
        <w:gridCol w:w="3099"/>
      </w:tblGrid>
      <w:tr w:rsidR="007F506F" w:rsidRPr="007F506F" w:rsidTr="007F506F">
        <w:trPr>
          <w:trHeight w:val="996"/>
        </w:trPr>
        <w:tc>
          <w:tcPr>
            <w:tcW w:w="7054" w:type="dxa"/>
          </w:tcPr>
          <w:p w:rsidR="007F506F" w:rsidRPr="007F506F" w:rsidRDefault="007F506F" w:rsidP="007F506F">
            <w:pPr>
              <w:keepNext/>
              <w:spacing w:line="240" w:lineRule="auto"/>
              <w:outlineLvl w:val="2"/>
              <w:rPr>
                <w:rFonts w:ascii="Arial" w:hAnsi="Arial"/>
                <w:b/>
                <w:sz w:val="28"/>
                <w:szCs w:val="28"/>
                <w:u w:val="single"/>
              </w:rPr>
            </w:pPr>
          </w:p>
        </w:tc>
        <w:tc>
          <w:tcPr>
            <w:tcW w:w="3099" w:type="dxa"/>
          </w:tcPr>
          <w:p w:rsidR="007F506F" w:rsidRPr="007F506F" w:rsidRDefault="007F506F" w:rsidP="007F506F">
            <w:pPr>
              <w:spacing w:line="240" w:lineRule="auto"/>
              <w:rPr>
                <w:rFonts w:ascii="Arial" w:hAnsi="Arial"/>
                <w:b/>
                <w:sz w:val="24"/>
                <w:szCs w:val="20"/>
              </w:rPr>
            </w:pPr>
          </w:p>
        </w:tc>
      </w:tr>
    </w:tbl>
    <w:p w:rsidR="00102DD7" w:rsidRDefault="00102DD7" w:rsidP="007F506F">
      <w:pPr>
        <w:rPr>
          <w:rFonts w:ascii="Segoe UI" w:hAnsi="Segoe UI" w:cs="Segoe UI"/>
          <w:sz w:val="22"/>
          <w:szCs w:val="22"/>
          <w:lang w:val="en-US"/>
        </w:rPr>
      </w:pPr>
    </w:p>
    <w:p w:rsidR="00387D3D" w:rsidRDefault="00387D3D" w:rsidP="007F506F">
      <w:pPr>
        <w:rPr>
          <w:rFonts w:ascii="Segoe UI" w:hAnsi="Segoe UI" w:cs="Segoe UI"/>
          <w:sz w:val="22"/>
          <w:szCs w:val="22"/>
          <w:lang w:val="en-US"/>
        </w:rPr>
      </w:pPr>
    </w:p>
    <w:p w:rsidR="00387D3D" w:rsidRDefault="00387D3D" w:rsidP="007F506F">
      <w:pPr>
        <w:rPr>
          <w:rFonts w:ascii="Segoe UI" w:hAnsi="Segoe UI" w:cs="Segoe UI"/>
          <w:sz w:val="22"/>
          <w:szCs w:val="22"/>
          <w:lang w:val="en-US"/>
        </w:rPr>
      </w:pPr>
    </w:p>
    <w:p w:rsidR="00387D3D" w:rsidRDefault="00387D3D" w:rsidP="007F506F">
      <w:pPr>
        <w:rPr>
          <w:rFonts w:ascii="Segoe UI" w:hAnsi="Segoe UI" w:cs="Segoe UI"/>
          <w:sz w:val="22"/>
          <w:szCs w:val="22"/>
          <w:lang w:val="en-US"/>
        </w:rPr>
      </w:pPr>
    </w:p>
    <w:p w:rsidR="001124CF" w:rsidRDefault="001124CF" w:rsidP="007F506F">
      <w:pPr>
        <w:rPr>
          <w:rFonts w:ascii="Segoe UI" w:hAnsi="Segoe UI" w:cs="Segoe UI"/>
          <w:sz w:val="22"/>
          <w:szCs w:val="22"/>
          <w:lang w:val="en-US"/>
        </w:rPr>
      </w:pPr>
    </w:p>
    <w:p w:rsidR="00387D3D" w:rsidRDefault="00387D3D" w:rsidP="007F506F">
      <w:pPr>
        <w:rPr>
          <w:rFonts w:ascii="Segoe UI" w:hAnsi="Segoe UI" w:cs="Segoe UI"/>
          <w:sz w:val="22"/>
          <w:szCs w:val="22"/>
          <w:lang w:val="en-US"/>
        </w:rPr>
      </w:pPr>
    </w:p>
    <w:p w:rsidR="001124CF" w:rsidRDefault="001124CF" w:rsidP="007F506F">
      <w:pPr>
        <w:rPr>
          <w:rFonts w:ascii="Segoe UI" w:hAnsi="Segoe UI" w:cs="Segoe UI"/>
          <w:sz w:val="22"/>
          <w:szCs w:val="22"/>
          <w:lang w:val="en-US"/>
        </w:rPr>
      </w:pPr>
    </w:p>
    <w:p w:rsidR="001124CF" w:rsidRDefault="001124CF" w:rsidP="007F506F">
      <w:pPr>
        <w:rPr>
          <w:rFonts w:ascii="Segoe UI" w:hAnsi="Segoe UI" w:cs="Segoe UI"/>
          <w:sz w:val="22"/>
          <w:szCs w:val="22"/>
          <w:lang w:val="en-US"/>
        </w:rPr>
      </w:pPr>
    </w:p>
    <w:tbl>
      <w:tblPr>
        <w:tblW w:w="9464" w:type="dxa"/>
        <w:tblLayout w:type="fixed"/>
        <w:tblLook w:val="0000" w:firstRow="0" w:lastRow="0" w:firstColumn="0" w:lastColumn="0" w:noHBand="0" w:noVBand="0"/>
      </w:tblPr>
      <w:tblGrid>
        <w:gridCol w:w="4928"/>
        <w:gridCol w:w="142"/>
        <w:gridCol w:w="2409"/>
        <w:gridCol w:w="1985"/>
      </w:tblGrid>
      <w:tr w:rsidR="00387D3D" w:rsidRPr="00387D3D" w:rsidTr="00387D3D">
        <w:tc>
          <w:tcPr>
            <w:tcW w:w="7479" w:type="dxa"/>
            <w:gridSpan w:val="3"/>
          </w:tcPr>
          <w:p w:rsidR="00387D3D" w:rsidRPr="00387D3D" w:rsidRDefault="00387D3D" w:rsidP="00387D3D">
            <w:pPr>
              <w:spacing w:line="240" w:lineRule="auto"/>
              <w:rPr>
                <w:rFonts w:ascii="Arial" w:hAnsi="Arial" w:cs="Arial"/>
                <w:b/>
                <w:sz w:val="32"/>
                <w:szCs w:val="20"/>
              </w:rPr>
            </w:pPr>
            <w:r w:rsidRPr="00387D3D">
              <w:rPr>
                <w:rFonts w:ascii="Arial" w:hAnsi="Arial" w:cs="Arial"/>
                <w:sz w:val="24"/>
                <w:szCs w:val="20"/>
              </w:rPr>
              <w:lastRenderedPageBreak/>
              <w:br w:type="page"/>
            </w:r>
            <w:r w:rsidRPr="00387D3D">
              <w:rPr>
                <w:rFonts w:ascii="Arial" w:hAnsi="Arial" w:cs="Arial"/>
                <w:b/>
                <w:sz w:val="32"/>
                <w:szCs w:val="20"/>
              </w:rPr>
              <w:t>PERSON SPECIFICATION</w:t>
            </w:r>
          </w:p>
        </w:tc>
        <w:tc>
          <w:tcPr>
            <w:tcW w:w="1985" w:type="dxa"/>
          </w:tcPr>
          <w:p w:rsidR="00387D3D" w:rsidRPr="00387D3D" w:rsidRDefault="00387D3D" w:rsidP="00387D3D">
            <w:pPr>
              <w:spacing w:line="240" w:lineRule="auto"/>
              <w:jc w:val="center"/>
              <w:rPr>
                <w:rFonts w:ascii="Arial" w:hAnsi="Arial" w:cs="Arial"/>
                <w:sz w:val="32"/>
                <w:szCs w:val="20"/>
              </w:rPr>
            </w:pPr>
          </w:p>
        </w:tc>
      </w:tr>
      <w:tr w:rsidR="00387D3D" w:rsidRPr="00387D3D" w:rsidTr="00387D3D">
        <w:trPr>
          <w:trHeight w:val="424"/>
        </w:trPr>
        <w:tc>
          <w:tcPr>
            <w:tcW w:w="7479" w:type="dxa"/>
            <w:gridSpan w:val="3"/>
          </w:tcPr>
          <w:p w:rsidR="00387D3D" w:rsidRPr="00387D3D" w:rsidRDefault="00387D3D" w:rsidP="00387D3D">
            <w:pPr>
              <w:spacing w:line="240" w:lineRule="auto"/>
              <w:rPr>
                <w:rFonts w:ascii="Arial" w:hAnsi="Arial"/>
                <w:sz w:val="32"/>
                <w:szCs w:val="20"/>
              </w:rPr>
            </w:pPr>
          </w:p>
        </w:tc>
        <w:tc>
          <w:tcPr>
            <w:tcW w:w="1985" w:type="dxa"/>
          </w:tcPr>
          <w:p w:rsidR="00387D3D" w:rsidRPr="00387D3D" w:rsidRDefault="00387D3D" w:rsidP="00387D3D">
            <w:pPr>
              <w:spacing w:line="240" w:lineRule="auto"/>
              <w:rPr>
                <w:rFonts w:ascii="Arial" w:hAnsi="Arial"/>
                <w:sz w:val="32"/>
                <w:szCs w:val="20"/>
              </w:rPr>
            </w:pPr>
          </w:p>
        </w:tc>
      </w:tr>
      <w:tr w:rsidR="00387D3D" w:rsidRPr="00387D3D" w:rsidTr="00387D3D">
        <w:tc>
          <w:tcPr>
            <w:tcW w:w="5070" w:type="dxa"/>
            <w:gridSpan w:val="2"/>
            <w:tcBorders>
              <w:top w:val="single" w:sz="6" w:space="0" w:color="auto"/>
              <w:left w:val="single" w:sz="6" w:space="0" w:color="auto"/>
              <w:bottom w:val="single" w:sz="6" w:space="0" w:color="auto"/>
              <w:right w:val="single" w:sz="6" w:space="0" w:color="auto"/>
            </w:tcBorders>
          </w:tcPr>
          <w:p w:rsidR="00387D3D" w:rsidRPr="00387D3D" w:rsidRDefault="00387D3D" w:rsidP="00387D3D">
            <w:pPr>
              <w:spacing w:line="240" w:lineRule="auto"/>
              <w:rPr>
                <w:rFonts w:ascii="Arial" w:hAnsi="Arial"/>
                <w:b/>
                <w:sz w:val="22"/>
                <w:szCs w:val="22"/>
              </w:rPr>
            </w:pPr>
            <w:r w:rsidRPr="00387D3D">
              <w:rPr>
                <w:rFonts w:ascii="Arial" w:hAnsi="Arial"/>
                <w:b/>
                <w:sz w:val="22"/>
                <w:szCs w:val="22"/>
              </w:rPr>
              <w:t xml:space="preserve">StreetGames </w:t>
            </w:r>
          </w:p>
        </w:tc>
        <w:tc>
          <w:tcPr>
            <w:tcW w:w="4394" w:type="dxa"/>
            <w:gridSpan w:val="2"/>
            <w:tcBorders>
              <w:top w:val="single" w:sz="6" w:space="0" w:color="auto"/>
              <w:left w:val="single" w:sz="6" w:space="0" w:color="auto"/>
              <w:bottom w:val="single" w:sz="6" w:space="0" w:color="auto"/>
              <w:right w:val="single" w:sz="6" w:space="0" w:color="auto"/>
            </w:tcBorders>
          </w:tcPr>
          <w:p w:rsidR="00387D3D" w:rsidRPr="00387D3D" w:rsidRDefault="00387D3D" w:rsidP="00387D3D">
            <w:pPr>
              <w:spacing w:line="240" w:lineRule="auto"/>
              <w:rPr>
                <w:rFonts w:ascii="Arial" w:hAnsi="Arial"/>
                <w:b/>
                <w:sz w:val="22"/>
                <w:szCs w:val="22"/>
              </w:rPr>
            </w:pPr>
            <w:r w:rsidRPr="00387D3D">
              <w:rPr>
                <w:rFonts w:ascii="Arial" w:hAnsi="Arial"/>
                <w:b/>
                <w:sz w:val="22"/>
                <w:szCs w:val="22"/>
              </w:rPr>
              <w:t>Job Title: Partnership Sustainability Lead – Posts available: North East; North West; Yorkshire &amp; Humber; Midlands</w:t>
            </w:r>
          </w:p>
        </w:tc>
      </w:tr>
      <w:tr w:rsidR="00387D3D" w:rsidRPr="00387D3D" w:rsidTr="00387D3D">
        <w:tc>
          <w:tcPr>
            <w:tcW w:w="9464" w:type="dxa"/>
            <w:gridSpan w:val="4"/>
            <w:tcBorders>
              <w:top w:val="single" w:sz="6" w:space="0" w:color="auto"/>
              <w:left w:val="single" w:sz="6" w:space="0" w:color="auto"/>
              <w:bottom w:val="single" w:sz="6" w:space="0" w:color="auto"/>
              <w:right w:val="single" w:sz="6" w:space="0" w:color="auto"/>
            </w:tcBorders>
            <w:shd w:val="clear" w:color="auto" w:fill="auto"/>
          </w:tcPr>
          <w:p w:rsidR="00387D3D" w:rsidRDefault="00387D3D" w:rsidP="00387D3D">
            <w:pPr>
              <w:spacing w:line="240" w:lineRule="auto"/>
              <w:rPr>
                <w:rFonts w:ascii="Arial" w:hAnsi="Arial"/>
                <w:sz w:val="22"/>
                <w:szCs w:val="22"/>
              </w:rPr>
            </w:pPr>
            <w:r w:rsidRPr="00387D3D">
              <w:rPr>
                <w:rFonts w:ascii="Arial" w:hAnsi="Arial"/>
                <w:b/>
                <w:sz w:val="22"/>
                <w:szCs w:val="22"/>
              </w:rPr>
              <w:t>Partnership Sustainability Leads</w:t>
            </w:r>
            <w:r w:rsidRPr="00387D3D">
              <w:rPr>
                <w:rFonts w:ascii="Arial" w:hAnsi="Arial"/>
                <w:sz w:val="22"/>
                <w:szCs w:val="22"/>
              </w:rPr>
              <w:t xml:space="preserve"> are knowledgeable, enthusiastic and passionate about organisations working with young people from the most deprived communities and providing sport and physical activity in a style that will engage now and have a lasting impact on those people’s lives. Partnership Sustainability Leads will be part of an Area Based Team, along with an Area Director and Doorstep Sport Advisors. Together they will use their expertise, local knowledge and inter-personal skills to build positive relationships with the people and projects within a defined area and the funders who are able to support this work. A Partnership Sustainability Lead will provide the necessary advice, guidance, information and support, to improve the sustainability of the sporting offer through cluster-working. Partnership Sustainability Leads will have experience and expertise in fundraising with a specific emphasis on developing and writing collaborative funding bids.  </w:t>
            </w:r>
          </w:p>
          <w:p w:rsidR="001124CF" w:rsidRPr="00387D3D" w:rsidRDefault="001124CF" w:rsidP="00387D3D">
            <w:pPr>
              <w:spacing w:line="240" w:lineRule="auto"/>
              <w:rPr>
                <w:rFonts w:ascii="Arial" w:hAnsi="Arial"/>
                <w:sz w:val="22"/>
                <w:szCs w:val="22"/>
              </w:rPr>
            </w:pPr>
          </w:p>
        </w:tc>
      </w:tr>
      <w:tr w:rsidR="00387D3D" w:rsidRPr="00387D3D" w:rsidTr="00387D3D">
        <w:tc>
          <w:tcPr>
            <w:tcW w:w="7479" w:type="dxa"/>
            <w:gridSpan w:val="3"/>
          </w:tcPr>
          <w:p w:rsidR="00387D3D" w:rsidRPr="00387D3D" w:rsidRDefault="00387D3D" w:rsidP="00387D3D">
            <w:pPr>
              <w:spacing w:line="240" w:lineRule="auto"/>
              <w:rPr>
                <w:rFonts w:ascii="Arial" w:hAnsi="Arial"/>
                <w:sz w:val="22"/>
                <w:szCs w:val="22"/>
              </w:rPr>
            </w:pPr>
          </w:p>
        </w:tc>
        <w:tc>
          <w:tcPr>
            <w:tcW w:w="1985" w:type="dxa"/>
          </w:tcPr>
          <w:p w:rsidR="00387D3D" w:rsidRPr="00387D3D" w:rsidRDefault="00387D3D" w:rsidP="00387D3D">
            <w:pPr>
              <w:spacing w:line="240" w:lineRule="auto"/>
              <w:rPr>
                <w:rFonts w:ascii="Arial" w:hAnsi="Arial"/>
                <w:sz w:val="22"/>
                <w:szCs w:val="22"/>
              </w:rPr>
            </w:pPr>
          </w:p>
        </w:tc>
      </w:tr>
      <w:tr w:rsidR="00387D3D" w:rsidRPr="00387D3D" w:rsidTr="00387D3D">
        <w:tc>
          <w:tcPr>
            <w:tcW w:w="4928" w:type="dxa"/>
            <w:tcBorders>
              <w:top w:val="single" w:sz="6" w:space="0" w:color="auto"/>
              <w:left w:val="single" w:sz="6" w:space="0" w:color="auto"/>
              <w:bottom w:val="single" w:sz="6" w:space="0" w:color="auto"/>
              <w:right w:val="single" w:sz="6" w:space="0" w:color="auto"/>
            </w:tcBorders>
            <w:shd w:val="solid" w:color="auto" w:fill="auto"/>
          </w:tcPr>
          <w:p w:rsidR="00387D3D" w:rsidRPr="00387D3D" w:rsidRDefault="00387D3D" w:rsidP="00387D3D">
            <w:pPr>
              <w:spacing w:line="240" w:lineRule="auto"/>
              <w:rPr>
                <w:rFonts w:ascii="Calibri" w:hAnsi="Calibri"/>
                <w:b/>
                <w:color w:val="FFFFFF"/>
                <w:sz w:val="22"/>
                <w:szCs w:val="22"/>
              </w:rPr>
            </w:pPr>
            <w:r w:rsidRPr="00387D3D">
              <w:rPr>
                <w:rFonts w:ascii="Calibri" w:hAnsi="Calibri"/>
                <w:b/>
                <w:color w:val="FFFFFF"/>
                <w:sz w:val="22"/>
                <w:szCs w:val="22"/>
              </w:rPr>
              <w:t>Experience:</w:t>
            </w:r>
          </w:p>
        </w:tc>
        <w:tc>
          <w:tcPr>
            <w:tcW w:w="2551" w:type="dxa"/>
            <w:gridSpan w:val="2"/>
            <w:tcBorders>
              <w:top w:val="single" w:sz="6" w:space="0" w:color="auto"/>
              <w:left w:val="single" w:sz="6" w:space="0" w:color="auto"/>
              <w:bottom w:val="single" w:sz="6" w:space="0" w:color="auto"/>
              <w:right w:val="single" w:sz="6" w:space="0" w:color="auto"/>
            </w:tcBorders>
            <w:shd w:val="solid" w:color="auto" w:fill="auto"/>
          </w:tcPr>
          <w:p w:rsidR="00387D3D" w:rsidRPr="00387D3D" w:rsidRDefault="00387D3D" w:rsidP="00387D3D">
            <w:pPr>
              <w:spacing w:line="240" w:lineRule="auto"/>
              <w:rPr>
                <w:rFonts w:ascii="Arial" w:hAnsi="Arial"/>
                <w:b/>
                <w:color w:val="FFFFFF"/>
                <w:sz w:val="22"/>
                <w:szCs w:val="22"/>
              </w:rPr>
            </w:pPr>
          </w:p>
        </w:tc>
        <w:tc>
          <w:tcPr>
            <w:tcW w:w="1985" w:type="dxa"/>
            <w:tcBorders>
              <w:top w:val="single" w:sz="6" w:space="0" w:color="auto"/>
              <w:left w:val="single" w:sz="6" w:space="0" w:color="auto"/>
              <w:bottom w:val="single" w:sz="6" w:space="0" w:color="auto"/>
              <w:right w:val="single" w:sz="6" w:space="0" w:color="auto"/>
            </w:tcBorders>
            <w:shd w:val="solid" w:color="auto" w:fill="auto"/>
          </w:tcPr>
          <w:p w:rsidR="00387D3D" w:rsidRPr="00387D3D" w:rsidRDefault="00387D3D" w:rsidP="00387D3D">
            <w:pPr>
              <w:spacing w:line="240" w:lineRule="auto"/>
              <w:rPr>
                <w:rFonts w:ascii="Arial" w:hAnsi="Arial"/>
                <w:b/>
                <w:color w:val="FFFFFF"/>
                <w:sz w:val="22"/>
                <w:szCs w:val="22"/>
              </w:rPr>
            </w:pPr>
          </w:p>
        </w:tc>
      </w:tr>
      <w:tr w:rsidR="00387D3D" w:rsidRPr="00387D3D" w:rsidTr="00387D3D">
        <w:trPr>
          <w:cantSplit/>
        </w:trPr>
        <w:tc>
          <w:tcPr>
            <w:tcW w:w="9464" w:type="dxa"/>
            <w:gridSpan w:val="4"/>
            <w:tcBorders>
              <w:top w:val="single" w:sz="6" w:space="0" w:color="auto"/>
              <w:left w:val="single" w:sz="6" w:space="0" w:color="auto"/>
              <w:bottom w:val="single" w:sz="6" w:space="0" w:color="auto"/>
              <w:right w:val="single" w:sz="6" w:space="0" w:color="auto"/>
            </w:tcBorders>
          </w:tcPr>
          <w:p w:rsidR="00387D3D" w:rsidRPr="00387D3D" w:rsidRDefault="00387D3D" w:rsidP="001124CF">
            <w:pPr>
              <w:numPr>
                <w:ilvl w:val="0"/>
                <w:numId w:val="8"/>
              </w:numPr>
              <w:spacing w:after="240" w:line="240" w:lineRule="auto"/>
              <w:rPr>
                <w:rFonts w:ascii="Arial" w:hAnsi="Arial" w:cs="Arial"/>
                <w:sz w:val="22"/>
                <w:szCs w:val="22"/>
              </w:rPr>
            </w:pPr>
            <w:r w:rsidRPr="00387D3D">
              <w:rPr>
                <w:rFonts w:ascii="Arial" w:hAnsi="Arial" w:cs="Arial"/>
                <w:sz w:val="22"/>
                <w:szCs w:val="22"/>
              </w:rPr>
              <w:t>Significant experience of writing successful funding applications, to a diverse range of funders.</w:t>
            </w:r>
          </w:p>
          <w:p w:rsidR="00387D3D" w:rsidRPr="00387D3D" w:rsidRDefault="00387D3D" w:rsidP="001124CF">
            <w:pPr>
              <w:numPr>
                <w:ilvl w:val="0"/>
                <w:numId w:val="8"/>
              </w:numPr>
              <w:spacing w:after="240" w:line="240" w:lineRule="auto"/>
              <w:rPr>
                <w:rFonts w:ascii="Arial" w:hAnsi="Arial" w:cs="Arial"/>
                <w:sz w:val="22"/>
                <w:szCs w:val="22"/>
              </w:rPr>
            </w:pPr>
            <w:r w:rsidRPr="00387D3D">
              <w:rPr>
                <w:rFonts w:ascii="Arial" w:hAnsi="Arial" w:cs="Arial"/>
                <w:sz w:val="22"/>
                <w:szCs w:val="22"/>
              </w:rPr>
              <w:t>Experience of pulling together collaborative funding bids involving multiple partners.</w:t>
            </w:r>
          </w:p>
          <w:p w:rsidR="00387D3D" w:rsidRPr="00387D3D" w:rsidRDefault="00387D3D" w:rsidP="001124CF">
            <w:pPr>
              <w:numPr>
                <w:ilvl w:val="0"/>
                <w:numId w:val="8"/>
              </w:numPr>
              <w:spacing w:after="240" w:line="240" w:lineRule="auto"/>
              <w:rPr>
                <w:rFonts w:ascii="Arial" w:hAnsi="Arial" w:cs="Arial"/>
                <w:sz w:val="22"/>
                <w:szCs w:val="22"/>
              </w:rPr>
            </w:pPr>
            <w:r w:rsidRPr="00387D3D">
              <w:rPr>
                <w:rFonts w:ascii="Arial" w:hAnsi="Arial" w:cs="Arial"/>
                <w:sz w:val="22"/>
                <w:szCs w:val="22"/>
              </w:rPr>
              <w:t xml:space="preserve">Experience of brokering and developing positive working relationships with a diverse range of national, regional and local funders and partners e.g. County Sports Partnerships. </w:t>
            </w:r>
          </w:p>
          <w:p w:rsidR="00387D3D" w:rsidRPr="00387D3D" w:rsidRDefault="00387D3D" w:rsidP="001124CF">
            <w:pPr>
              <w:numPr>
                <w:ilvl w:val="0"/>
                <w:numId w:val="8"/>
              </w:numPr>
              <w:spacing w:after="240" w:line="240" w:lineRule="auto"/>
              <w:rPr>
                <w:rFonts w:ascii="Arial" w:hAnsi="Arial" w:cs="Arial"/>
                <w:sz w:val="22"/>
                <w:szCs w:val="22"/>
              </w:rPr>
            </w:pPr>
            <w:r w:rsidRPr="00387D3D">
              <w:rPr>
                <w:rFonts w:ascii="Arial" w:hAnsi="Arial" w:cs="Arial"/>
                <w:sz w:val="22"/>
                <w:szCs w:val="22"/>
              </w:rPr>
              <w:t>Experience of undertaking research and maintaining appropriate records that could be applied to national, regional and local funding opportunities.</w:t>
            </w:r>
          </w:p>
          <w:p w:rsidR="00387D3D" w:rsidRPr="00387D3D" w:rsidRDefault="00387D3D" w:rsidP="001124CF">
            <w:pPr>
              <w:numPr>
                <w:ilvl w:val="0"/>
                <w:numId w:val="8"/>
              </w:numPr>
              <w:spacing w:after="240" w:line="240" w:lineRule="auto"/>
              <w:rPr>
                <w:rFonts w:ascii="Arial" w:hAnsi="Arial" w:cs="Arial"/>
                <w:sz w:val="22"/>
                <w:szCs w:val="22"/>
              </w:rPr>
            </w:pPr>
            <w:r w:rsidRPr="00387D3D">
              <w:rPr>
                <w:rFonts w:ascii="Arial" w:hAnsi="Arial" w:cs="Arial"/>
                <w:sz w:val="22"/>
                <w:szCs w:val="22"/>
              </w:rPr>
              <w:t>Experience of brokering relationships to enable partnership working across multiple organisations to achieve a common goal.</w:t>
            </w:r>
          </w:p>
          <w:p w:rsidR="00387D3D" w:rsidRPr="00387D3D" w:rsidRDefault="00387D3D" w:rsidP="001124CF">
            <w:pPr>
              <w:numPr>
                <w:ilvl w:val="0"/>
                <w:numId w:val="8"/>
              </w:numPr>
              <w:spacing w:after="240" w:line="240" w:lineRule="auto"/>
              <w:rPr>
                <w:rFonts w:ascii="Arial" w:hAnsi="Arial" w:cs="Arial"/>
                <w:sz w:val="22"/>
                <w:szCs w:val="22"/>
              </w:rPr>
            </w:pPr>
            <w:r w:rsidRPr="00387D3D">
              <w:rPr>
                <w:rFonts w:ascii="Arial" w:hAnsi="Arial" w:cs="Arial"/>
                <w:sz w:val="22"/>
                <w:szCs w:val="22"/>
              </w:rPr>
              <w:t>Experience of working with local and regional business networks and philanthropic events and giving circles, to enable donations.</w:t>
            </w:r>
          </w:p>
          <w:p w:rsidR="00387D3D" w:rsidRPr="00387D3D" w:rsidRDefault="00387D3D" w:rsidP="001124CF">
            <w:pPr>
              <w:numPr>
                <w:ilvl w:val="0"/>
                <w:numId w:val="8"/>
              </w:numPr>
              <w:spacing w:after="240" w:line="240" w:lineRule="auto"/>
              <w:rPr>
                <w:rFonts w:ascii="Arial" w:hAnsi="Arial" w:cs="Arial"/>
                <w:sz w:val="22"/>
                <w:szCs w:val="22"/>
              </w:rPr>
            </w:pPr>
            <w:r w:rsidRPr="00387D3D">
              <w:rPr>
                <w:rFonts w:ascii="Arial" w:hAnsi="Arial" w:cs="Arial"/>
                <w:sz w:val="22"/>
                <w:szCs w:val="22"/>
              </w:rPr>
              <w:t>Experience of applying national fundraising priorities to regional and local environments.</w:t>
            </w:r>
          </w:p>
          <w:p w:rsidR="00387D3D" w:rsidRPr="00387D3D" w:rsidRDefault="00387D3D" w:rsidP="001124CF">
            <w:pPr>
              <w:numPr>
                <w:ilvl w:val="0"/>
                <w:numId w:val="8"/>
              </w:numPr>
              <w:spacing w:after="240" w:line="240" w:lineRule="auto"/>
              <w:rPr>
                <w:rFonts w:ascii="Arial" w:hAnsi="Arial" w:cs="Arial"/>
                <w:sz w:val="22"/>
                <w:szCs w:val="22"/>
              </w:rPr>
            </w:pPr>
            <w:r w:rsidRPr="00387D3D">
              <w:rPr>
                <w:rFonts w:ascii="Arial" w:hAnsi="Arial" w:cs="Arial"/>
                <w:sz w:val="22"/>
                <w:szCs w:val="22"/>
              </w:rPr>
              <w:t>Experience of identifying training needs of a workforce and establishing appropriate fundraising / bid writing training, to meet those needs.</w:t>
            </w:r>
          </w:p>
          <w:p w:rsidR="00387D3D" w:rsidRPr="00387D3D" w:rsidRDefault="00387D3D" w:rsidP="001124CF">
            <w:pPr>
              <w:numPr>
                <w:ilvl w:val="0"/>
                <w:numId w:val="8"/>
              </w:numPr>
              <w:spacing w:after="240" w:line="240" w:lineRule="auto"/>
              <w:rPr>
                <w:rFonts w:ascii="Arial" w:hAnsi="Arial" w:cs="Arial"/>
                <w:sz w:val="22"/>
                <w:szCs w:val="22"/>
              </w:rPr>
            </w:pPr>
            <w:r w:rsidRPr="00387D3D">
              <w:rPr>
                <w:rFonts w:ascii="Arial" w:hAnsi="Arial" w:cs="Arial"/>
                <w:sz w:val="22"/>
                <w:szCs w:val="22"/>
              </w:rPr>
              <w:t>Knowledge or experience of Doorstep Sport, or delivery of sporting or youth activity in areas of high multiple deprivation.</w:t>
            </w:r>
          </w:p>
          <w:p w:rsidR="00387D3D" w:rsidRPr="00387D3D" w:rsidRDefault="00387D3D" w:rsidP="00387D3D">
            <w:pPr>
              <w:numPr>
                <w:ilvl w:val="0"/>
                <w:numId w:val="8"/>
              </w:numPr>
              <w:spacing w:line="240" w:lineRule="auto"/>
              <w:rPr>
                <w:rFonts w:ascii="Arial" w:hAnsi="Arial" w:cs="Arial"/>
                <w:sz w:val="22"/>
                <w:szCs w:val="22"/>
              </w:rPr>
            </w:pPr>
            <w:r w:rsidRPr="00387D3D">
              <w:rPr>
                <w:rFonts w:ascii="Arial" w:hAnsi="Arial" w:cs="Arial"/>
                <w:sz w:val="22"/>
                <w:szCs w:val="22"/>
              </w:rPr>
              <w:t>Knowledge of sport and young people in its relation to other policy agendas e.g. health, education and crime &amp; community safety.</w:t>
            </w:r>
          </w:p>
          <w:p w:rsidR="00387D3D" w:rsidRPr="00387D3D" w:rsidRDefault="00387D3D" w:rsidP="00387D3D">
            <w:pPr>
              <w:spacing w:line="240" w:lineRule="auto"/>
              <w:ind w:left="360"/>
              <w:rPr>
                <w:rFonts w:ascii="Arial" w:hAnsi="Arial" w:cs="Arial"/>
                <w:sz w:val="22"/>
                <w:szCs w:val="22"/>
              </w:rPr>
            </w:pPr>
          </w:p>
        </w:tc>
      </w:tr>
      <w:tr w:rsidR="00387D3D" w:rsidRPr="00387D3D" w:rsidTr="00387D3D">
        <w:tc>
          <w:tcPr>
            <w:tcW w:w="4928" w:type="dxa"/>
            <w:tcBorders>
              <w:top w:val="single" w:sz="6" w:space="0" w:color="auto"/>
              <w:left w:val="single" w:sz="6" w:space="0" w:color="auto"/>
              <w:bottom w:val="single" w:sz="6" w:space="0" w:color="auto"/>
              <w:right w:val="single" w:sz="6" w:space="0" w:color="auto"/>
            </w:tcBorders>
            <w:shd w:val="solid" w:color="auto" w:fill="auto"/>
          </w:tcPr>
          <w:p w:rsidR="00387D3D" w:rsidRPr="00387D3D" w:rsidRDefault="00387D3D" w:rsidP="00387D3D">
            <w:pPr>
              <w:spacing w:line="240" w:lineRule="auto"/>
              <w:rPr>
                <w:rFonts w:ascii="Arial" w:hAnsi="Arial"/>
                <w:b/>
                <w:color w:val="FFFFFF"/>
                <w:sz w:val="22"/>
                <w:szCs w:val="22"/>
              </w:rPr>
            </w:pPr>
            <w:r w:rsidRPr="00387D3D">
              <w:rPr>
                <w:rFonts w:ascii="Arial" w:hAnsi="Arial"/>
                <w:b/>
                <w:color w:val="FFFFFF"/>
                <w:sz w:val="22"/>
                <w:szCs w:val="22"/>
              </w:rPr>
              <w:lastRenderedPageBreak/>
              <w:t>Skills and Abilities:</w:t>
            </w:r>
          </w:p>
        </w:tc>
        <w:tc>
          <w:tcPr>
            <w:tcW w:w="2551" w:type="dxa"/>
            <w:gridSpan w:val="2"/>
            <w:tcBorders>
              <w:top w:val="single" w:sz="6" w:space="0" w:color="auto"/>
              <w:left w:val="single" w:sz="6" w:space="0" w:color="auto"/>
              <w:bottom w:val="single" w:sz="6" w:space="0" w:color="auto"/>
              <w:right w:val="single" w:sz="6" w:space="0" w:color="auto"/>
            </w:tcBorders>
            <w:shd w:val="solid" w:color="auto" w:fill="auto"/>
          </w:tcPr>
          <w:p w:rsidR="00387D3D" w:rsidRPr="00387D3D" w:rsidRDefault="00387D3D" w:rsidP="00387D3D">
            <w:pPr>
              <w:spacing w:line="240" w:lineRule="auto"/>
              <w:rPr>
                <w:rFonts w:ascii="Arial" w:hAnsi="Arial"/>
                <w:b/>
                <w:color w:val="FFFFFF"/>
                <w:sz w:val="22"/>
                <w:szCs w:val="22"/>
              </w:rPr>
            </w:pPr>
          </w:p>
        </w:tc>
        <w:tc>
          <w:tcPr>
            <w:tcW w:w="1985" w:type="dxa"/>
            <w:tcBorders>
              <w:top w:val="single" w:sz="6" w:space="0" w:color="auto"/>
              <w:left w:val="single" w:sz="6" w:space="0" w:color="auto"/>
              <w:bottom w:val="single" w:sz="6" w:space="0" w:color="auto"/>
              <w:right w:val="single" w:sz="6" w:space="0" w:color="auto"/>
            </w:tcBorders>
            <w:shd w:val="solid" w:color="auto" w:fill="auto"/>
          </w:tcPr>
          <w:p w:rsidR="00387D3D" w:rsidRPr="00387D3D" w:rsidRDefault="00387D3D" w:rsidP="00387D3D">
            <w:pPr>
              <w:spacing w:line="240" w:lineRule="auto"/>
              <w:rPr>
                <w:rFonts w:ascii="Arial" w:hAnsi="Arial"/>
                <w:b/>
                <w:color w:val="FFFFFF"/>
                <w:sz w:val="22"/>
                <w:szCs w:val="22"/>
              </w:rPr>
            </w:pPr>
          </w:p>
        </w:tc>
      </w:tr>
      <w:tr w:rsidR="00387D3D" w:rsidRPr="00387D3D" w:rsidTr="00387D3D">
        <w:trPr>
          <w:cantSplit/>
        </w:trPr>
        <w:tc>
          <w:tcPr>
            <w:tcW w:w="9464" w:type="dxa"/>
            <w:gridSpan w:val="4"/>
            <w:tcBorders>
              <w:top w:val="single" w:sz="6" w:space="0" w:color="auto"/>
              <w:left w:val="single" w:sz="6" w:space="0" w:color="auto"/>
              <w:bottom w:val="single" w:sz="6" w:space="0" w:color="auto"/>
              <w:right w:val="single" w:sz="6" w:space="0" w:color="auto"/>
            </w:tcBorders>
          </w:tcPr>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Excellent interpersonal communication skills; presenting ideas and information, providing clear instructions, persuading and negotiating.</w:t>
            </w:r>
          </w:p>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Excellent research and data collection skills.</w:t>
            </w:r>
          </w:p>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Excellent written communication skills with the ability to produce strong, coherent funding applications as well as written reports, development plans and support materials for local organisations.</w:t>
            </w:r>
          </w:p>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Excellent relationship management skills with the ability to engage a wide variety of strategic and delivery partners.</w:t>
            </w:r>
          </w:p>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Excellent customer care skills with the ability to develop these in others.</w:t>
            </w:r>
          </w:p>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Excellent organisational skills, able to manage all aspects of a diverse regional programme.</w:t>
            </w:r>
          </w:p>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Able to use own initiative and work without direct supervision</w:t>
            </w:r>
          </w:p>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Able to prioritise workload effectively and deal with competing and conflicting priorities.</w:t>
            </w:r>
          </w:p>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Strong teamwork skills with the ability to lead and play a role within a team, including motivating colleagues and team members.</w:t>
            </w:r>
          </w:p>
          <w:p w:rsidR="00387D3D" w:rsidRPr="00387D3D" w:rsidRDefault="00387D3D" w:rsidP="001124CF">
            <w:pPr>
              <w:numPr>
                <w:ilvl w:val="0"/>
                <w:numId w:val="9"/>
              </w:numPr>
              <w:spacing w:after="240" w:line="240" w:lineRule="auto"/>
              <w:rPr>
                <w:rFonts w:ascii="Arial" w:hAnsi="Arial" w:cs="Arial"/>
                <w:sz w:val="22"/>
                <w:szCs w:val="22"/>
              </w:rPr>
            </w:pPr>
            <w:r w:rsidRPr="00387D3D">
              <w:rPr>
                <w:rFonts w:ascii="Arial" w:hAnsi="Arial" w:cs="Arial"/>
                <w:sz w:val="22"/>
                <w:szCs w:val="22"/>
              </w:rPr>
              <w:t xml:space="preserve">Able to use Word, Excel and </w:t>
            </w:r>
            <w:r w:rsidR="001124CF" w:rsidRPr="00387D3D">
              <w:rPr>
                <w:rFonts w:ascii="Arial" w:hAnsi="Arial" w:cs="Arial"/>
                <w:sz w:val="22"/>
                <w:szCs w:val="22"/>
              </w:rPr>
              <w:t>PowerPoint</w:t>
            </w:r>
            <w:r w:rsidRPr="00387D3D">
              <w:rPr>
                <w:rFonts w:ascii="Arial" w:hAnsi="Arial" w:cs="Arial"/>
                <w:sz w:val="22"/>
                <w:szCs w:val="22"/>
              </w:rPr>
              <w:t xml:space="preserve"> and email effectively. Able to learn the use of new IT packages e.g. CRM systems.</w:t>
            </w:r>
          </w:p>
          <w:p w:rsidR="00387D3D" w:rsidRPr="001124CF" w:rsidRDefault="00387D3D" w:rsidP="001124CF">
            <w:pPr>
              <w:pStyle w:val="ListParagraph"/>
              <w:numPr>
                <w:ilvl w:val="0"/>
                <w:numId w:val="9"/>
              </w:numPr>
              <w:spacing w:after="240" w:line="240" w:lineRule="auto"/>
              <w:rPr>
                <w:rFonts w:ascii="Arial" w:hAnsi="Arial" w:cs="Arial"/>
                <w:sz w:val="22"/>
                <w:szCs w:val="22"/>
              </w:rPr>
            </w:pPr>
            <w:r w:rsidRPr="001124CF">
              <w:rPr>
                <w:rFonts w:ascii="Arial" w:hAnsi="Arial" w:cs="Arial"/>
                <w:sz w:val="22"/>
                <w:szCs w:val="22"/>
              </w:rPr>
              <w:t xml:space="preserve">Able to interpret statistical information from a range of sources and create coherent reports. </w:t>
            </w:r>
          </w:p>
          <w:p w:rsidR="00387D3D" w:rsidRPr="00387D3D" w:rsidRDefault="00387D3D" w:rsidP="00387D3D">
            <w:pPr>
              <w:spacing w:line="240" w:lineRule="auto"/>
              <w:rPr>
                <w:rFonts w:ascii="Calibri" w:hAnsi="Calibri"/>
                <w:sz w:val="22"/>
                <w:szCs w:val="22"/>
              </w:rPr>
            </w:pPr>
          </w:p>
        </w:tc>
      </w:tr>
      <w:tr w:rsidR="00387D3D" w:rsidRPr="00387D3D" w:rsidTr="00387D3D">
        <w:tc>
          <w:tcPr>
            <w:tcW w:w="4928" w:type="dxa"/>
            <w:tcBorders>
              <w:top w:val="single" w:sz="6" w:space="0" w:color="auto"/>
              <w:left w:val="single" w:sz="6" w:space="0" w:color="auto"/>
              <w:bottom w:val="single" w:sz="6" w:space="0" w:color="auto"/>
              <w:right w:val="single" w:sz="6" w:space="0" w:color="auto"/>
            </w:tcBorders>
            <w:shd w:val="solid" w:color="auto" w:fill="auto"/>
          </w:tcPr>
          <w:p w:rsidR="00387D3D" w:rsidRPr="00387D3D" w:rsidRDefault="00387D3D" w:rsidP="00387D3D">
            <w:pPr>
              <w:keepNext/>
              <w:spacing w:line="240" w:lineRule="auto"/>
              <w:outlineLvl w:val="4"/>
              <w:rPr>
                <w:rFonts w:ascii="Calibri" w:hAnsi="Calibri"/>
                <w:b/>
                <w:color w:val="FFFFFF"/>
                <w:sz w:val="22"/>
                <w:szCs w:val="22"/>
              </w:rPr>
            </w:pPr>
            <w:r w:rsidRPr="00387D3D">
              <w:rPr>
                <w:rFonts w:ascii="Calibri" w:hAnsi="Calibri"/>
                <w:b/>
                <w:color w:val="FFFFFF"/>
                <w:sz w:val="22"/>
                <w:szCs w:val="22"/>
              </w:rPr>
              <w:t>Work Related Personal Requirements</w:t>
            </w:r>
          </w:p>
        </w:tc>
        <w:tc>
          <w:tcPr>
            <w:tcW w:w="2551" w:type="dxa"/>
            <w:gridSpan w:val="2"/>
            <w:tcBorders>
              <w:top w:val="single" w:sz="6" w:space="0" w:color="auto"/>
              <w:left w:val="single" w:sz="6" w:space="0" w:color="auto"/>
              <w:bottom w:val="single" w:sz="6" w:space="0" w:color="auto"/>
              <w:right w:val="single" w:sz="6" w:space="0" w:color="auto"/>
            </w:tcBorders>
            <w:shd w:val="solid" w:color="auto" w:fill="auto"/>
          </w:tcPr>
          <w:p w:rsidR="00387D3D" w:rsidRPr="00387D3D" w:rsidRDefault="00387D3D" w:rsidP="00387D3D">
            <w:pPr>
              <w:spacing w:line="240" w:lineRule="auto"/>
              <w:rPr>
                <w:rFonts w:ascii="Calibri" w:hAnsi="Calibri"/>
                <w:b/>
                <w:color w:val="FFFFFF"/>
                <w:sz w:val="22"/>
                <w:szCs w:val="22"/>
              </w:rPr>
            </w:pPr>
          </w:p>
        </w:tc>
        <w:tc>
          <w:tcPr>
            <w:tcW w:w="1985" w:type="dxa"/>
            <w:tcBorders>
              <w:top w:val="single" w:sz="6" w:space="0" w:color="auto"/>
              <w:left w:val="single" w:sz="6" w:space="0" w:color="auto"/>
              <w:bottom w:val="single" w:sz="6" w:space="0" w:color="auto"/>
              <w:right w:val="single" w:sz="6" w:space="0" w:color="auto"/>
            </w:tcBorders>
            <w:shd w:val="solid" w:color="auto" w:fill="auto"/>
          </w:tcPr>
          <w:p w:rsidR="00387D3D" w:rsidRPr="00387D3D" w:rsidRDefault="00387D3D" w:rsidP="00387D3D">
            <w:pPr>
              <w:spacing w:line="240" w:lineRule="auto"/>
              <w:rPr>
                <w:rFonts w:ascii="Calibri" w:hAnsi="Calibri"/>
                <w:b/>
                <w:color w:val="FFFFFF"/>
                <w:sz w:val="22"/>
                <w:szCs w:val="22"/>
              </w:rPr>
            </w:pPr>
          </w:p>
        </w:tc>
      </w:tr>
      <w:tr w:rsidR="00387D3D" w:rsidRPr="00387D3D" w:rsidTr="00387D3D">
        <w:trPr>
          <w:cantSplit/>
        </w:trPr>
        <w:tc>
          <w:tcPr>
            <w:tcW w:w="9464" w:type="dxa"/>
            <w:gridSpan w:val="4"/>
            <w:tcBorders>
              <w:top w:val="single" w:sz="6" w:space="0" w:color="auto"/>
              <w:left w:val="single" w:sz="6" w:space="0" w:color="auto"/>
              <w:bottom w:val="single" w:sz="6" w:space="0" w:color="auto"/>
              <w:right w:val="single" w:sz="6" w:space="0" w:color="auto"/>
            </w:tcBorders>
          </w:tcPr>
          <w:p w:rsidR="00387D3D" w:rsidRPr="00387D3D" w:rsidRDefault="00387D3D" w:rsidP="00387D3D">
            <w:pPr>
              <w:spacing w:line="240" w:lineRule="auto"/>
              <w:rPr>
                <w:rFonts w:ascii="Arial" w:hAnsi="Arial" w:cs="Arial"/>
                <w:b/>
                <w:sz w:val="22"/>
                <w:szCs w:val="22"/>
              </w:rPr>
            </w:pPr>
          </w:p>
          <w:p w:rsidR="00387D3D" w:rsidRPr="001124CF" w:rsidRDefault="00387D3D" w:rsidP="001124CF">
            <w:pPr>
              <w:pStyle w:val="ListParagraph"/>
              <w:numPr>
                <w:ilvl w:val="0"/>
                <w:numId w:val="11"/>
              </w:numPr>
              <w:spacing w:line="240" w:lineRule="auto"/>
              <w:rPr>
                <w:rFonts w:ascii="Arial" w:hAnsi="Arial" w:cs="Arial"/>
                <w:sz w:val="22"/>
                <w:szCs w:val="22"/>
              </w:rPr>
            </w:pPr>
            <w:r w:rsidRPr="001124CF">
              <w:rPr>
                <w:rFonts w:ascii="Arial" w:hAnsi="Arial" w:cs="Arial"/>
                <w:sz w:val="22"/>
                <w:szCs w:val="22"/>
              </w:rPr>
              <w:t>This post may be subject to a Disclosure and Barring Service check.</w:t>
            </w:r>
          </w:p>
          <w:p w:rsidR="00387D3D" w:rsidRPr="001124CF" w:rsidRDefault="00387D3D" w:rsidP="001124CF">
            <w:pPr>
              <w:pStyle w:val="ListParagraph"/>
              <w:numPr>
                <w:ilvl w:val="0"/>
                <w:numId w:val="11"/>
              </w:numPr>
              <w:spacing w:line="240" w:lineRule="auto"/>
              <w:rPr>
                <w:rFonts w:ascii="Arial" w:hAnsi="Arial" w:cs="Arial"/>
                <w:sz w:val="22"/>
                <w:szCs w:val="22"/>
              </w:rPr>
            </w:pPr>
            <w:r w:rsidRPr="001124CF">
              <w:rPr>
                <w:rFonts w:ascii="Arial" w:hAnsi="Arial" w:cs="Arial"/>
                <w:sz w:val="22"/>
                <w:szCs w:val="22"/>
              </w:rPr>
              <w:t>The post holder must be able to travel and have use of a vehicle for work purposes.</w:t>
            </w:r>
          </w:p>
          <w:p w:rsidR="00387D3D" w:rsidRPr="001124CF" w:rsidRDefault="00387D3D" w:rsidP="001124CF">
            <w:pPr>
              <w:pStyle w:val="ListParagraph"/>
              <w:numPr>
                <w:ilvl w:val="0"/>
                <w:numId w:val="11"/>
              </w:numPr>
              <w:spacing w:line="240" w:lineRule="auto"/>
              <w:rPr>
                <w:rFonts w:ascii="Arial" w:hAnsi="Arial" w:cs="Arial"/>
                <w:sz w:val="22"/>
                <w:szCs w:val="22"/>
              </w:rPr>
            </w:pPr>
            <w:r w:rsidRPr="001124CF">
              <w:rPr>
                <w:rFonts w:ascii="Arial" w:hAnsi="Arial" w:cs="Arial"/>
                <w:sz w:val="22"/>
                <w:szCs w:val="22"/>
              </w:rPr>
              <w:t xml:space="preserve">The post holder may be expected to stay away for work purposes where the organisation requires. </w:t>
            </w:r>
          </w:p>
          <w:p w:rsidR="00387D3D" w:rsidRPr="00387D3D" w:rsidRDefault="00387D3D" w:rsidP="00387D3D">
            <w:pPr>
              <w:spacing w:line="240" w:lineRule="auto"/>
              <w:rPr>
                <w:rFonts w:ascii="Calibri" w:hAnsi="Calibri"/>
                <w:sz w:val="22"/>
                <w:szCs w:val="22"/>
              </w:rPr>
            </w:pPr>
          </w:p>
        </w:tc>
      </w:tr>
    </w:tbl>
    <w:p w:rsidR="00387D3D" w:rsidRPr="007F506F" w:rsidRDefault="00387D3D" w:rsidP="007F506F">
      <w:pPr>
        <w:rPr>
          <w:rFonts w:ascii="Segoe UI" w:hAnsi="Segoe UI" w:cs="Segoe UI"/>
          <w:sz w:val="22"/>
          <w:szCs w:val="22"/>
          <w:lang w:val="en-US"/>
        </w:rPr>
      </w:pPr>
      <w:bookmarkStart w:id="0" w:name="_GoBack"/>
      <w:bookmarkEnd w:id="0"/>
    </w:p>
    <w:sectPr w:rsidR="00387D3D" w:rsidRPr="007F506F" w:rsidSect="00A6519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10" w:rsidRDefault="008D0C10" w:rsidP="007D507A">
      <w:pPr>
        <w:spacing w:line="240" w:lineRule="auto"/>
      </w:pPr>
      <w:r>
        <w:separator/>
      </w:r>
    </w:p>
  </w:endnote>
  <w:endnote w:type="continuationSeparator" w:id="0">
    <w:p w:rsidR="008D0C10" w:rsidRDefault="008D0C10" w:rsidP="007D5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44582"/>
      <w:docPartObj>
        <w:docPartGallery w:val="Page Numbers (Bottom of Page)"/>
        <w:docPartUnique/>
      </w:docPartObj>
    </w:sdtPr>
    <w:sdtEndPr>
      <w:rPr>
        <w:noProof/>
      </w:rPr>
    </w:sdtEndPr>
    <w:sdtContent>
      <w:p w:rsidR="004D3BD6" w:rsidRDefault="004D3BD6">
        <w:pPr>
          <w:pStyle w:val="Footer"/>
          <w:jc w:val="right"/>
        </w:pPr>
        <w:r>
          <w:fldChar w:fldCharType="begin"/>
        </w:r>
        <w:r>
          <w:instrText xml:space="preserve"> PAGE   \* MERGEFORMAT </w:instrText>
        </w:r>
        <w:r>
          <w:fldChar w:fldCharType="separate"/>
        </w:r>
        <w:r w:rsidR="001124CF">
          <w:rPr>
            <w:noProof/>
          </w:rPr>
          <w:t>2</w:t>
        </w:r>
        <w:r>
          <w:rPr>
            <w:noProof/>
          </w:rPr>
          <w:fldChar w:fldCharType="end"/>
        </w:r>
      </w:p>
    </w:sdtContent>
  </w:sdt>
  <w:p w:rsidR="007D507A" w:rsidRDefault="007D5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81743"/>
      <w:docPartObj>
        <w:docPartGallery w:val="Page Numbers (Bottom of Page)"/>
        <w:docPartUnique/>
      </w:docPartObj>
    </w:sdtPr>
    <w:sdtEndPr>
      <w:rPr>
        <w:noProof/>
      </w:rPr>
    </w:sdtEndPr>
    <w:sdtContent>
      <w:p w:rsidR="004D3BD6" w:rsidRDefault="004D3BD6">
        <w:pPr>
          <w:pStyle w:val="Footer"/>
          <w:jc w:val="right"/>
        </w:pPr>
        <w:r>
          <w:fldChar w:fldCharType="begin"/>
        </w:r>
        <w:r>
          <w:instrText xml:space="preserve"> PAGE   \* MERGEFORMAT </w:instrText>
        </w:r>
        <w:r>
          <w:fldChar w:fldCharType="separate"/>
        </w:r>
        <w:r w:rsidR="001124CF">
          <w:rPr>
            <w:noProof/>
          </w:rPr>
          <w:t>1</w:t>
        </w:r>
        <w:r>
          <w:rPr>
            <w:noProof/>
          </w:rPr>
          <w:fldChar w:fldCharType="end"/>
        </w:r>
      </w:p>
    </w:sdtContent>
  </w:sdt>
  <w:p w:rsidR="004D3BD6" w:rsidRDefault="004D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10" w:rsidRDefault="008D0C10" w:rsidP="007D507A">
      <w:pPr>
        <w:spacing w:line="240" w:lineRule="auto"/>
      </w:pPr>
      <w:r>
        <w:separator/>
      </w:r>
    </w:p>
  </w:footnote>
  <w:footnote w:type="continuationSeparator" w:id="0">
    <w:p w:rsidR="008D0C10" w:rsidRDefault="008D0C10" w:rsidP="007D50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95" w:rsidRDefault="007A237E">
    <w:pPr>
      <w:pStyle w:val="Header"/>
    </w:pPr>
    <w:r>
      <w:rPr>
        <w:noProof/>
        <w:lang w:eastAsia="zh-TW"/>
      </w:rPr>
      <w:drawing>
        <wp:anchor distT="0" distB="0" distL="114300" distR="114300" simplePos="0" relativeHeight="251667968" behindDoc="0" locked="0" layoutInCell="1" allowOverlap="1" wp14:anchorId="639ECD3A" wp14:editId="5E342015">
          <wp:simplePos x="0" y="0"/>
          <wp:positionH relativeFrom="margin">
            <wp:posOffset>4657725</wp:posOffset>
          </wp:positionH>
          <wp:positionV relativeFrom="paragraph">
            <wp:posOffset>-10160</wp:posOffset>
          </wp:positionV>
          <wp:extent cx="1181100" cy="842645"/>
          <wp:effectExtent l="0" t="0" r="0" b="0"/>
          <wp:wrapSquare wrapText="bothSides"/>
          <wp:docPr id="2" name="Picture 2" descr="StreetGam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Game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195" w:rsidRDefault="00A65195">
    <w:pPr>
      <w:pStyle w:val="Header"/>
    </w:pPr>
  </w:p>
  <w:p w:rsidR="00A65195" w:rsidRDefault="00A65195">
    <w:pPr>
      <w:pStyle w:val="Header"/>
    </w:pPr>
  </w:p>
  <w:p w:rsidR="00A65195" w:rsidRDefault="00A65195">
    <w:pPr>
      <w:pStyle w:val="Header"/>
    </w:pPr>
  </w:p>
  <w:p w:rsidR="00A65195" w:rsidRDefault="00A65195">
    <w:pPr>
      <w:pStyle w:val="Header"/>
    </w:pPr>
  </w:p>
  <w:p w:rsidR="007D507A" w:rsidRDefault="007D5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95" w:rsidRDefault="00A65195" w:rsidP="00A65195">
    <w:pPr>
      <w:pStyle w:val="Header"/>
      <w:jc w:val="center"/>
    </w:pPr>
    <w:r>
      <w:rPr>
        <w:noProof/>
        <w:lang w:eastAsia="zh-TW"/>
      </w:rPr>
      <w:drawing>
        <wp:anchor distT="0" distB="0" distL="114300" distR="114300" simplePos="0" relativeHeight="251658752" behindDoc="0" locked="0" layoutInCell="1" allowOverlap="1" wp14:anchorId="5C5B6DE8" wp14:editId="3A9448A7">
          <wp:simplePos x="0" y="0"/>
          <wp:positionH relativeFrom="margin">
            <wp:posOffset>4533900</wp:posOffset>
          </wp:positionH>
          <wp:positionV relativeFrom="paragraph">
            <wp:posOffset>-78105</wp:posOffset>
          </wp:positionV>
          <wp:extent cx="1181100" cy="842645"/>
          <wp:effectExtent l="0" t="0" r="0" b="0"/>
          <wp:wrapSquare wrapText="bothSides"/>
          <wp:docPr id="3" name="Picture 3" descr="StreetGam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Game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37E" w:rsidRDefault="007A237E" w:rsidP="00A65195">
    <w:pPr>
      <w:pStyle w:val="Heading1"/>
      <w:spacing w:line="240" w:lineRule="auto"/>
      <w:rPr>
        <w:rFonts w:ascii="Arial" w:hAnsi="Arial"/>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6DD"/>
    <w:multiLevelType w:val="hybridMultilevel"/>
    <w:tmpl w:val="17B27FC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927" w:hanging="207"/>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25A11CC"/>
    <w:multiLevelType w:val="hybridMultilevel"/>
    <w:tmpl w:val="60783A30"/>
    <w:lvl w:ilvl="0" w:tplc="0809000F">
      <w:start w:val="1"/>
      <w:numFmt w:val="decimal"/>
      <w:lvlText w:val="%1."/>
      <w:lvlJc w:val="left"/>
      <w:pPr>
        <w:ind w:left="816" w:hanging="456"/>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A2B64"/>
    <w:multiLevelType w:val="multilevel"/>
    <w:tmpl w:val="A6603094"/>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02351F"/>
    <w:multiLevelType w:val="hybridMultilevel"/>
    <w:tmpl w:val="0FF6D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7596C"/>
    <w:multiLevelType w:val="hybridMultilevel"/>
    <w:tmpl w:val="A1083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BC52E6"/>
    <w:multiLevelType w:val="hybridMultilevel"/>
    <w:tmpl w:val="30080F1E"/>
    <w:lvl w:ilvl="0" w:tplc="4088163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D47F4E"/>
    <w:multiLevelType w:val="hybridMultilevel"/>
    <w:tmpl w:val="6642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53452"/>
    <w:multiLevelType w:val="hybridMultilevel"/>
    <w:tmpl w:val="35D82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9C2E06"/>
    <w:multiLevelType w:val="hybridMultilevel"/>
    <w:tmpl w:val="A7D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A587C"/>
    <w:multiLevelType w:val="hybridMultilevel"/>
    <w:tmpl w:val="C7B2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46104"/>
    <w:multiLevelType w:val="hybridMultilevel"/>
    <w:tmpl w:val="AB82441E"/>
    <w:lvl w:ilvl="0" w:tplc="08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7"/>
  </w:num>
  <w:num w:numId="4">
    <w:abstractNumId w:val="8"/>
  </w:num>
  <w:num w:numId="5">
    <w:abstractNumId w:val="3"/>
  </w:num>
  <w:num w:numId="6">
    <w:abstractNumId w:val="9"/>
  </w:num>
  <w:num w:numId="7">
    <w:abstractNumId w:val="1"/>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7A"/>
    <w:rsid w:val="000037F3"/>
    <w:rsid w:val="00033BDA"/>
    <w:rsid w:val="00043C74"/>
    <w:rsid w:val="00075AFB"/>
    <w:rsid w:val="00075BA4"/>
    <w:rsid w:val="000968F9"/>
    <w:rsid w:val="000E51AC"/>
    <w:rsid w:val="00102DD7"/>
    <w:rsid w:val="001124CF"/>
    <w:rsid w:val="00125FA9"/>
    <w:rsid w:val="00171037"/>
    <w:rsid w:val="00177421"/>
    <w:rsid w:val="00185794"/>
    <w:rsid w:val="001B3348"/>
    <w:rsid w:val="001B3A30"/>
    <w:rsid w:val="001E298C"/>
    <w:rsid w:val="002055BB"/>
    <w:rsid w:val="0021202F"/>
    <w:rsid w:val="002229CE"/>
    <w:rsid w:val="002339C7"/>
    <w:rsid w:val="0024214A"/>
    <w:rsid w:val="00256F7C"/>
    <w:rsid w:val="00286C98"/>
    <w:rsid w:val="002B3623"/>
    <w:rsid w:val="002D0834"/>
    <w:rsid w:val="0037065C"/>
    <w:rsid w:val="00387D3D"/>
    <w:rsid w:val="003B2185"/>
    <w:rsid w:val="003E6BAC"/>
    <w:rsid w:val="003F5697"/>
    <w:rsid w:val="00403609"/>
    <w:rsid w:val="00417D65"/>
    <w:rsid w:val="00422E43"/>
    <w:rsid w:val="004D1A2F"/>
    <w:rsid w:val="004D3BD6"/>
    <w:rsid w:val="004D77E1"/>
    <w:rsid w:val="00511095"/>
    <w:rsid w:val="00513006"/>
    <w:rsid w:val="0054142B"/>
    <w:rsid w:val="005853D9"/>
    <w:rsid w:val="005A16E1"/>
    <w:rsid w:val="005E16CE"/>
    <w:rsid w:val="006D27AD"/>
    <w:rsid w:val="006E51C4"/>
    <w:rsid w:val="00707FE6"/>
    <w:rsid w:val="00722A6C"/>
    <w:rsid w:val="00724294"/>
    <w:rsid w:val="0075565C"/>
    <w:rsid w:val="007A237E"/>
    <w:rsid w:val="007B318D"/>
    <w:rsid w:val="007C2B48"/>
    <w:rsid w:val="007D2ADA"/>
    <w:rsid w:val="007D507A"/>
    <w:rsid w:val="007E6B51"/>
    <w:rsid w:val="007F506F"/>
    <w:rsid w:val="008073C6"/>
    <w:rsid w:val="00832C9F"/>
    <w:rsid w:val="00843826"/>
    <w:rsid w:val="008631F4"/>
    <w:rsid w:val="008A6F93"/>
    <w:rsid w:val="008B1392"/>
    <w:rsid w:val="008D0C10"/>
    <w:rsid w:val="008D122A"/>
    <w:rsid w:val="008D7D25"/>
    <w:rsid w:val="00962AB0"/>
    <w:rsid w:val="00967577"/>
    <w:rsid w:val="00967F72"/>
    <w:rsid w:val="009A55B6"/>
    <w:rsid w:val="009B25F4"/>
    <w:rsid w:val="009C4FC2"/>
    <w:rsid w:val="009C5655"/>
    <w:rsid w:val="009E1C62"/>
    <w:rsid w:val="009F3B97"/>
    <w:rsid w:val="00A46DBD"/>
    <w:rsid w:val="00A65195"/>
    <w:rsid w:val="00A7462C"/>
    <w:rsid w:val="00AA6705"/>
    <w:rsid w:val="00AF2578"/>
    <w:rsid w:val="00B02F7A"/>
    <w:rsid w:val="00B039A4"/>
    <w:rsid w:val="00B85BBD"/>
    <w:rsid w:val="00C06D5E"/>
    <w:rsid w:val="00C41862"/>
    <w:rsid w:val="00CA30D3"/>
    <w:rsid w:val="00CB23D6"/>
    <w:rsid w:val="00CC44F9"/>
    <w:rsid w:val="00CE636E"/>
    <w:rsid w:val="00CF0E02"/>
    <w:rsid w:val="00CF5E46"/>
    <w:rsid w:val="00D57344"/>
    <w:rsid w:val="00D72601"/>
    <w:rsid w:val="00DB00EF"/>
    <w:rsid w:val="00E110E8"/>
    <w:rsid w:val="00E42E11"/>
    <w:rsid w:val="00E83424"/>
    <w:rsid w:val="00EF1D63"/>
    <w:rsid w:val="00F4500D"/>
    <w:rsid w:val="00F546A0"/>
    <w:rsid w:val="00F61CBB"/>
    <w:rsid w:val="00F72D23"/>
    <w:rsid w:val="00FE43E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C7A5C3-9AF8-4CF5-BF31-D205B859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7A"/>
    <w:pPr>
      <w:spacing w:after="0" w:line="280" w:lineRule="atLeast"/>
    </w:pPr>
    <w:rPr>
      <w:rFonts w:ascii="DIN-Regular" w:eastAsia="Times New Roman" w:hAnsi="DIN-Regular" w:cs="Times New Roman"/>
      <w:sz w:val="20"/>
      <w:szCs w:val="24"/>
      <w:lang w:eastAsia="en-GB"/>
    </w:rPr>
  </w:style>
  <w:style w:type="paragraph" w:styleId="Heading1">
    <w:name w:val="heading 1"/>
    <w:basedOn w:val="Normal"/>
    <w:next w:val="Normal"/>
    <w:link w:val="Heading1Char"/>
    <w:qFormat/>
    <w:rsid w:val="007D507A"/>
    <w:pPr>
      <w:keepNext/>
      <w:spacing w:before="120" w:line="680" w:lineRule="atLeast"/>
      <w:outlineLvl w:val="0"/>
    </w:pPr>
    <w:rPr>
      <w:rFonts w:cs="Arial"/>
      <w:bCs/>
      <w:color w:val="850070"/>
      <w:kern w:val="32"/>
      <w:sz w:val="50"/>
      <w:szCs w:val="50"/>
    </w:rPr>
  </w:style>
  <w:style w:type="paragraph" w:styleId="Heading3">
    <w:name w:val="heading 3"/>
    <w:basedOn w:val="Normal"/>
    <w:next w:val="Normal"/>
    <w:link w:val="Heading3Char"/>
    <w:qFormat/>
    <w:rsid w:val="007D507A"/>
    <w:pPr>
      <w:keepNext/>
      <w:spacing w:line="300" w:lineRule="atLeast"/>
      <w:outlineLvl w:val="2"/>
    </w:pPr>
    <w:rPr>
      <w:rFonts w:cs="Arial"/>
      <w:b/>
      <w:bCs/>
      <w:color w:val="850070"/>
      <w:sz w:val="24"/>
    </w:rPr>
  </w:style>
  <w:style w:type="paragraph" w:styleId="Heading5">
    <w:name w:val="heading 5"/>
    <w:basedOn w:val="Normal"/>
    <w:next w:val="Normal"/>
    <w:link w:val="Heading5Char"/>
    <w:uiPriority w:val="9"/>
    <w:semiHidden/>
    <w:unhideWhenUsed/>
    <w:qFormat/>
    <w:rsid w:val="00387D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07A"/>
    <w:rPr>
      <w:rFonts w:ascii="DIN-Regular" w:eastAsia="Times New Roman" w:hAnsi="DIN-Regular" w:cs="Arial"/>
      <w:bCs/>
      <w:color w:val="850070"/>
      <w:kern w:val="32"/>
      <w:sz w:val="50"/>
      <w:szCs w:val="50"/>
      <w:lang w:eastAsia="en-GB"/>
    </w:rPr>
  </w:style>
  <w:style w:type="character" w:customStyle="1" w:styleId="Heading3Char">
    <w:name w:val="Heading 3 Char"/>
    <w:basedOn w:val="DefaultParagraphFont"/>
    <w:link w:val="Heading3"/>
    <w:rsid w:val="007D507A"/>
    <w:rPr>
      <w:rFonts w:ascii="DIN-Regular" w:eastAsia="Times New Roman" w:hAnsi="DIN-Regular" w:cs="Arial"/>
      <w:b/>
      <w:bCs/>
      <w:color w:val="850070"/>
      <w:sz w:val="24"/>
      <w:szCs w:val="24"/>
      <w:lang w:eastAsia="en-GB"/>
    </w:rPr>
  </w:style>
  <w:style w:type="character" w:styleId="Hyperlink">
    <w:name w:val="Hyperlink"/>
    <w:rsid w:val="007D507A"/>
    <w:rPr>
      <w:color w:val="0000FF"/>
      <w:u w:val="single"/>
    </w:rPr>
  </w:style>
  <w:style w:type="paragraph" w:styleId="NormalWeb">
    <w:name w:val="Normal (Web)"/>
    <w:basedOn w:val="Normal"/>
    <w:uiPriority w:val="99"/>
    <w:unhideWhenUsed/>
    <w:rsid w:val="007D507A"/>
    <w:pPr>
      <w:spacing w:before="100" w:beforeAutospacing="1" w:after="100" w:afterAutospacing="1" w:line="240" w:lineRule="auto"/>
    </w:pPr>
    <w:rPr>
      <w:rFonts w:ascii="Times New Roman" w:hAnsi="Times New Roman"/>
      <w:sz w:val="24"/>
    </w:rPr>
  </w:style>
  <w:style w:type="paragraph" w:styleId="Header">
    <w:name w:val="header"/>
    <w:basedOn w:val="Normal"/>
    <w:link w:val="HeaderChar"/>
    <w:uiPriority w:val="99"/>
    <w:unhideWhenUsed/>
    <w:rsid w:val="007D507A"/>
    <w:pPr>
      <w:tabs>
        <w:tab w:val="center" w:pos="4513"/>
        <w:tab w:val="right" w:pos="9026"/>
      </w:tabs>
      <w:spacing w:line="240" w:lineRule="auto"/>
    </w:pPr>
  </w:style>
  <w:style w:type="character" w:customStyle="1" w:styleId="HeaderChar">
    <w:name w:val="Header Char"/>
    <w:basedOn w:val="DefaultParagraphFont"/>
    <w:link w:val="Header"/>
    <w:uiPriority w:val="99"/>
    <w:rsid w:val="007D507A"/>
    <w:rPr>
      <w:rFonts w:ascii="DIN-Regular" w:eastAsia="Times New Roman" w:hAnsi="DIN-Regular" w:cs="Times New Roman"/>
      <w:sz w:val="20"/>
      <w:szCs w:val="24"/>
      <w:lang w:eastAsia="en-GB"/>
    </w:rPr>
  </w:style>
  <w:style w:type="paragraph" w:styleId="Footer">
    <w:name w:val="footer"/>
    <w:basedOn w:val="Normal"/>
    <w:link w:val="FooterChar"/>
    <w:uiPriority w:val="99"/>
    <w:unhideWhenUsed/>
    <w:rsid w:val="007D507A"/>
    <w:pPr>
      <w:tabs>
        <w:tab w:val="center" w:pos="4513"/>
        <w:tab w:val="right" w:pos="9026"/>
      </w:tabs>
      <w:spacing w:line="240" w:lineRule="auto"/>
    </w:pPr>
  </w:style>
  <w:style w:type="character" w:customStyle="1" w:styleId="FooterChar">
    <w:name w:val="Footer Char"/>
    <w:basedOn w:val="DefaultParagraphFont"/>
    <w:link w:val="Footer"/>
    <w:uiPriority w:val="99"/>
    <w:rsid w:val="007D507A"/>
    <w:rPr>
      <w:rFonts w:ascii="DIN-Regular" w:eastAsia="Times New Roman" w:hAnsi="DIN-Regular" w:cs="Times New Roman"/>
      <w:sz w:val="20"/>
      <w:szCs w:val="24"/>
      <w:lang w:eastAsia="en-GB"/>
    </w:rPr>
  </w:style>
  <w:style w:type="paragraph" w:styleId="BalloonText">
    <w:name w:val="Balloon Text"/>
    <w:basedOn w:val="Normal"/>
    <w:link w:val="BalloonTextChar"/>
    <w:uiPriority w:val="99"/>
    <w:semiHidden/>
    <w:unhideWhenUsed/>
    <w:rsid w:val="007D50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7A"/>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B039A4"/>
    <w:rPr>
      <w:color w:val="800080" w:themeColor="followedHyperlink"/>
      <w:u w:val="single"/>
    </w:rPr>
  </w:style>
  <w:style w:type="paragraph" w:styleId="ListParagraph">
    <w:name w:val="List Paragraph"/>
    <w:basedOn w:val="Normal"/>
    <w:uiPriority w:val="34"/>
    <w:qFormat/>
    <w:rsid w:val="00843826"/>
    <w:pPr>
      <w:ind w:left="720"/>
      <w:contextualSpacing/>
    </w:pPr>
  </w:style>
  <w:style w:type="character" w:customStyle="1" w:styleId="Heading5Char">
    <w:name w:val="Heading 5 Char"/>
    <w:basedOn w:val="DefaultParagraphFont"/>
    <w:link w:val="Heading5"/>
    <w:uiPriority w:val="9"/>
    <w:semiHidden/>
    <w:rsid w:val="00387D3D"/>
    <w:rPr>
      <w:rFonts w:asciiTheme="majorHAnsi" w:eastAsiaTheme="majorEastAsia" w:hAnsiTheme="majorHAnsi" w:cstheme="majorBidi"/>
      <w:color w:val="243F60" w:themeColor="accent1" w:themeShade="7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1102</Words>
  <Characters>6288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
      <vt:lpstr>StreetGames UK</vt:lpstr>
      <vt:lpstr>Partnership Sustainability Lead</vt:lpstr>
      <vt:lpstr/>
      <vt:lpstr>“…the sports charity that brings sport to the doorstep of young people in disad</vt:lpstr>
      <vt:lpstr>        </vt:lpstr>
      <vt:lpstr>        </vt:lpstr>
      <vt: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Hindle</dc:creator>
  <cp:lastModifiedBy>Laurence Edwards</cp:lastModifiedBy>
  <cp:revision>5</cp:revision>
  <cp:lastPrinted>2018-03-14T17:14:00Z</cp:lastPrinted>
  <dcterms:created xsi:type="dcterms:W3CDTF">2019-03-27T16:13:00Z</dcterms:created>
  <dcterms:modified xsi:type="dcterms:W3CDTF">2019-04-03T14:22:00Z</dcterms:modified>
</cp:coreProperties>
</file>